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10F14" w14:textId="77777777" w:rsidR="00A73C1B" w:rsidRDefault="00A73C1B" w:rsidP="00B41BE2">
      <w:pPr>
        <w:spacing w:line="360" w:lineRule="auto"/>
        <w:ind w:firstLine="3686"/>
      </w:pPr>
    </w:p>
    <w:p w14:paraId="2E7A4EB3" w14:textId="528CF9D7" w:rsidR="0061436C" w:rsidRDefault="0061436C" w:rsidP="0061436C">
      <w:pPr>
        <w:spacing w:line="360" w:lineRule="auto"/>
      </w:pPr>
      <w:r>
        <w:t xml:space="preserve">EXCELENTÍSSIMO SENHOR PRESIDENTE                                         </w:t>
      </w:r>
      <w:r w:rsidR="001F315B">
        <w:t xml:space="preserve">   </w:t>
      </w:r>
      <w:r>
        <w:t xml:space="preserve">     PL </w:t>
      </w:r>
      <w:r w:rsidR="007A4CFB">
        <w:t>120</w:t>
      </w:r>
      <w:r w:rsidR="001F315B">
        <w:t>/2018</w:t>
      </w:r>
    </w:p>
    <w:p w14:paraId="46182624" w14:textId="77777777" w:rsidR="00827BDE" w:rsidRDefault="00827BDE" w:rsidP="00CF329C">
      <w:pPr>
        <w:pStyle w:val="Recuodecorpodetexto2"/>
        <w:ind w:firstLine="1985"/>
        <w:rPr>
          <w:rFonts w:ascii="Times New Roman" w:hAnsi="Times New Roman"/>
          <w:szCs w:val="24"/>
        </w:rPr>
      </w:pPr>
    </w:p>
    <w:p w14:paraId="56C9AF6D" w14:textId="77777777" w:rsidR="008E16F8" w:rsidRDefault="008E16F8" w:rsidP="00CF329C">
      <w:pPr>
        <w:pStyle w:val="Recuodecorpodetexto2"/>
        <w:ind w:firstLine="1985"/>
        <w:rPr>
          <w:rFonts w:ascii="Times New Roman" w:hAnsi="Times New Roman"/>
          <w:szCs w:val="24"/>
        </w:rPr>
      </w:pPr>
    </w:p>
    <w:p w14:paraId="0DA994DA" w14:textId="3ECC2624" w:rsidR="00177E96" w:rsidRDefault="00CF329C" w:rsidP="00177E96">
      <w:pPr>
        <w:pStyle w:val="Recuodecorpodetexto2"/>
        <w:rPr>
          <w:rFonts w:ascii="Times New Roman" w:hAnsi="Times New Roman"/>
          <w:szCs w:val="24"/>
        </w:rPr>
      </w:pPr>
      <w:r>
        <w:rPr>
          <w:rFonts w:ascii="Times New Roman" w:hAnsi="Times New Roman"/>
          <w:szCs w:val="24"/>
        </w:rPr>
        <w:t xml:space="preserve">A autoria da presente Proposição é do </w:t>
      </w:r>
      <w:r w:rsidR="00E061BB">
        <w:rPr>
          <w:rFonts w:ascii="Times New Roman" w:hAnsi="Times New Roman"/>
          <w:szCs w:val="24"/>
        </w:rPr>
        <w:t xml:space="preserve">nobre vereador </w:t>
      </w:r>
      <w:r w:rsidR="00204D5C">
        <w:rPr>
          <w:rFonts w:ascii="Times New Roman" w:hAnsi="Times New Roman"/>
          <w:szCs w:val="24"/>
        </w:rPr>
        <w:t>Péricles Régis Mendonça de Lima</w:t>
      </w:r>
      <w:r w:rsidR="00E061BB">
        <w:rPr>
          <w:rFonts w:ascii="Times New Roman" w:hAnsi="Times New Roman"/>
          <w:szCs w:val="24"/>
        </w:rPr>
        <w:t xml:space="preserve">. </w:t>
      </w:r>
    </w:p>
    <w:p w14:paraId="3C29D1E5" w14:textId="77777777" w:rsidR="005C06BD" w:rsidRDefault="00CF329C" w:rsidP="005C06BD">
      <w:pPr>
        <w:pStyle w:val="Recuodecorpodetexto2"/>
        <w:rPr>
          <w:rFonts w:ascii="Times New Roman" w:hAnsi="Times New Roman"/>
          <w:i/>
          <w:szCs w:val="24"/>
        </w:rPr>
      </w:pPr>
      <w:r>
        <w:rPr>
          <w:rFonts w:ascii="Times New Roman" w:hAnsi="Times New Roman"/>
          <w:szCs w:val="24"/>
        </w:rPr>
        <w:t xml:space="preserve">Trata-se de PL que </w:t>
      </w:r>
      <w:r w:rsidRPr="004549D1">
        <w:rPr>
          <w:rFonts w:ascii="Times New Roman" w:hAnsi="Times New Roman"/>
          <w:i/>
          <w:szCs w:val="24"/>
        </w:rPr>
        <w:t>“</w:t>
      </w:r>
      <w:r w:rsidR="004549D1" w:rsidRPr="004549D1">
        <w:rPr>
          <w:rFonts w:ascii="Times New Roman" w:hAnsi="Times New Roman"/>
          <w:i/>
          <w:szCs w:val="24"/>
        </w:rPr>
        <w:t xml:space="preserve">Dispõe sobre </w:t>
      </w:r>
      <w:r w:rsidR="00A5543F">
        <w:rPr>
          <w:rFonts w:ascii="Times New Roman" w:hAnsi="Times New Roman"/>
          <w:i/>
          <w:szCs w:val="24"/>
        </w:rPr>
        <w:t>fracionamento e sistema personalizado de dispensação de medicamentos no serviço público e privado</w:t>
      </w:r>
      <w:r w:rsidR="00712F9E">
        <w:rPr>
          <w:rFonts w:ascii="Times New Roman" w:hAnsi="Times New Roman"/>
          <w:i/>
          <w:szCs w:val="24"/>
        </w:rPr>
        <w:t xml:space="preserve">”. </w:t>
      </w:r>
    </w:p>
    <w:p w14:paraId="033C848B" w14:textId="77777777" w:rsidR="005C06BD" w:rsidRDefault="005C06BD" w:rsidP="005C06BD">
      <w:pPr>
        <w:pStyle w:val="Recuodecorpodetexto2"/>
        <w:rPr>
          <w:rFonts w:ascii="Times New Roman" w:hAnsi="Times New Roman"/>
          <w:i/>
          <w:szCs w:val="24"/>
        </w:rPr>
      </w:pPr>
    </w:p>
    <w:p w14:paraId="34258DC0" w14:textId="77777777" w:rsidR="005C06BD" w:rsidRDefault="005C06BD" w:rsidP="005C06BD">
      <w:pPr>
        <w:pStyle w:val="Recuodecorpodetexto2"/>
        <w:rPr>
          <w:rFonts w:ascii="Times New Roman" w:hAnsi="Times New Roman"/>
          <w:szCs w:val="24"/>
        </w:rPr>
      </w:pPr>
      <w:r w:rsidRPr="000E6AC7">
        <w:rPr>
          <w:rFonts w:ascii="Times New Roman" w:hAnsi="Times New Roman"/>
          <w:szCs w:val="24"/>
        </w:rPr>
        <w:t>O Projeto de Lei ora analisado enquadra-se na competência legislativa da Câmara Municipal, consoante se depreende do art. 30, incisos I e II</w:t>
      </w:r>
      <w:r w:rsidRPr="000E6AC7">
        <w:rPr>
          <w:rStyle w:val="Refdenotaderodap"/>
          <w:rFonts w:ascii="Times New Roman" w:hAnsi="Times New Roman"/>
          <w:szCs w:val="24"/>
        </w:rPr>
        <w:footnoteReference w:id="1"/>
      </w:r>
      <w:r w:rsidRPr="000E6AC7">
        <w:rPr>
          <w:rFonts w:ascii="Times New Roman" w:hAnsi="Times New Roman"/>
          <w:szCs w:val="24"/>
        </w:rPr>
        <w:t xml:space="preserve"> da Constituição Federal e do art. 4º, incisos I e II</w:t>
      </w:r>
      <w:r w:rsidRPr="000E6AC7">
        <w:rPr>
          <w:rStyle w:val="Refdenotaderodap"/>
          <w:rFonts w:ascii="Times New Roman" w:hAnsi="Times New Roman"/>
          <w:szCs w:val="24"/>
        </w:rPr>
        <w:footnoteReference w:id="2"/>
      </w:r>
      <w:r w:rsidRPr="000E6AC7">
        <w:rPr>
          <w:rFonts w:ascii="Times New Roman" w:hAnsi="Times New Roman"/>
          <w:szCs w:val="24"/>
        </w:rPr>
        <w:t xml:space="preserve"> c/</w:t>
      </w:r>
      <w:proofErr w:type="gramStart"/>
      <w:r w:rsidRPr="000E6AC7">
        <w:rPr>
          <w:rFonts w:ascii="Times New Roman" w:hAnsi="Times New Roman"/>
          <w:szCs w:val="24"/>
        </w:rPr>
        <w:t>c</w:t>
      </w:r>
      <w:proofErr w:type="gramEnd"/>
      <w:r w:rsidRPr="000E6AC7">
        <w:rPr>
          <w:rFonts w:ascii="Times New Roman" w:hAnsi="Times New Roman"/>
          <w:szCs w:val="24"/>
        </w:rPr>
        <w:t xml:space="preserve"> art. 33, inciso I, alínea “e”, “f”, “n”</w:t>
      </w:r>
      <w:r w:rsidRPr="000E6AC7">
        <w:rPr>
          <w:rStyle w:val="Refdenotaderodap"/>
          <w:rFonts w:ascii="Times New Roman" w:hAnsi="Times New Roman"/>
          <w:szCs w:val="24"/>
        </w:rPr>
        <w:footnoteReference w:id="3"/>
      </w:r>
      <w:r w:rsidRPr="000E6AC7">
        <w:rPr>
          <w:rFonts w:ascii="Times New Roman" w:hAnsi="Times New Roman"/>
          <w:szCs w:val="24"/>
        </w:rPr>
        <w:t xml:space="preserve"> e, em especial, art. 129</w:t>
      </w:r>
      <w:r w:rsidRPr="000E6AC7">
        <w:rPr>
          <w:rStyle w:val="Refdenotaderodap"/>
          <w:rFonts w:ascii="Times New Roman" w:hAnsi="Times New Roman"/>
          <w:szCs w:val="24"/>
        </w:rPr>
        <w:footnoteReference w:id="4"/>
      </w:r>
      <w:r w:rsidRPr="000E6AC7">
        <w:rPr>
          <w:rFonts w:ascii="Times New Roman" w:hAnsi="Times New Roman"/>
          <w:szCs w:val="24"/>
        </w:rPr>
        <w:t xml:space="preserve"> e </w:t>
      </w:r>
      <w:proofErr w:type="spellStart"/>
      <w:r w:rsidRPr="000E6AC7">
        <w:rPr>
          <w:rFonts w:ascii="Times New Roman" w:hAnsi="Times New Roman"/>
          <w:szCs w:val="24"/>
        </w:rPr>
        <w:t>art</w:t>
      </w:r>
      <w:proofErr w:type="spellEnd"/>
      <w:r w:rsidRPr="000E6AC7">
        <w:rPr>
          <w:rFonts w:ascii="Times New Roman" w:hAnsi="Times New Roman"/>
          <w:szCs w:val="24"/>
        </w:rPr>
        <w:t xml:space="preserve"> 130, incisos II e III</w:t>
      </w:r>
      <w:r w:rsidRPr="000E6AC7">
        <w:rPr>
          <w:rStyle w:val="Refdenotaderodap"/>
          <w:rFonts w:ascii="Times New Roman" w:hAnsi="Times New Roman"/>
          <w:szCs w:val="24"/>
        </w:rPr>
        <w:footnoteReference w:id="5"/>
      </w:r>
      <w:r w:rsidRPr="000E6AC7">
        <w:rPr>
          <w:rFonts w:ascii="Times New Roman" w:hAnsi="Times New Roman"/>
          <w:szCs w:val="24"/>
        </w:rPr>
        <w:t>, da Lei Orgânica do Município.</w:t>
      </w:r>
    </w:p>
    <w:p w14:paraId="0B36D290" w14:textId="1FBBCCAD" w:rsidR="005C06BD" w:rsidRPr="000E6AC7" w:rsidRDefault="005C06BD" w:rsidP="005C06BD">
      <w:pPr>
        <w:pStyle w:val="Recuodecorpodetexto2"/>
        <w:rPr>
          <w:rFonts w:ascii="Times New Roman" w:hAnsi="Times New Roman"/>
          <w:szCs w:val="24"/>
        </w:rPr>
      </w:pPr>
      <w:r w:rsidRPr="000E6AC7">
        <w:rPr>
          <w:rFonts w:ascii="Times New Roman" w:hAnsi="Times New Roman"/>
          <w:szCs w:val="24"/>
        </w:rPr>
        <w:t xml:space="preserve">Observe-se que a matéria de fundo é a </w:t>
      </w:r>
      <w:r w:rsidRPr="000E6AC7">
        <w:rPr>
          <w:rFonts w:ascii="Times New Roman" w:hAnsi="Times New Roman"/>
          <w:b/>
          <w:szCs w:val="24"/>
        </w:rPr>
        <w:t>proteção e defesa do consumidor, sobre a qual pode o Município legislar</w:t>
      </w:r>
      <w:r w:rsidRPr="000E6AC7">
        <w:rPr>
          <w:rFonts w:ascii="Times New Roman" w:hAnsi="Times New Roman"/>
          <w:szCs w:val="24"/>
        </w:rPr>
        <w:t xml:space="preserve"> (CDC art. 55, §1º)</w:t>
      </w:r>
      <w:r w:rsidRPr="000E6AC7">
        <w:rPr>
          <w:rStyle w:val="Refdenotaderodap"/>
          <w:rFonts w:ascii="Times New Roman" w:hAnsi="Times New Roman"/>
          <w:szCs w:val="24"/>
        </w:rPr>
        <w:footnoteReference w:id="6"/>
      </w:r>
      <w:r w:rsidRPr="000E6AC7">
        <w:rPr>
          <w:rFonts w:ascii="Times New Roman" w:hAnsi="Times New Roman"/>
          <w:szCs w:val="24"/>
        </w:rPr>
        <w:t>.</w:t>
      </w:r>
    </w:p>
    <w:p w14:paraId="5138A592" w14:textId="77777777" w:rsidR="005C06BD" w:rsidRPr="000E6AC7" w:rsidRDefault="005C06BD" w:rsidP="005C06BD">
      <w:pPr>
        <w:tabs>
          <w:tab w:val="left" w:pos="1418"/>
        </w:tabs>
        <w:spacing w:line="360" w:lineRule="auto"/>
        <w:jc w:val="both"/>
      </w:pPr>
    </w:p>
    <w:p w14:paraId="0534A1EB" w14:textId="40B41ADB" w:rsidR="005C06BD" w:rsidRPr="000E6AC7" w:rsidRDefault="005C06BD" w:rsidP="001D054F">
      <w:pPr>
        <w:tabs>
          <w:tab w:val="left" w:pos="1418"/>
        </w:tabs>
        <w:spacing w:line="360" w:lineRule="auto"/>
        <w:ind w:firstLine="3969"/>
        <w:jc w:val="both"/>
      </w:pPr>
      <w:r w:rsidRPr="000E6AC7">
        <w:lastRenderedPageBreak/>
        <w:t xml:space="preserve">Sobre o assunto </w:t>
      </w:r>
      <w:proofErr w:type="spellStart"/>
      <w:r w:rsidRPr="000E6AC7">
        <w:t>Zelmo</w:t>
      </w:r>
      <w:proofErr w:type="spellEnd"/>
      <w:r w:rsidRPr="000E6AC7">
        <w:t xml:space="preserve"> </w:t>
      </w:r>
      <w:proofErr w:type="spellStart"/>
      <w:r w:rsidRPr="000E6AC7">
        <w:t>Denari</w:t>
      </w:r>
      <w:proofErr w:type="spellEnd"/>
      <w:r w:rsidRPr="000E6AC7">
        <w:t xml:space="preserve"> ensina que:</w:t>
      </w:r>
    </w:p>
    <w:p w14:paraId="7C6264B6" w14:textId="77777777" w:rsidR="001D054F" w:rsidRPr="000E6AC7" w:rsidRDefault="005C06BD" w:rsidP="001D054F">
      <w:pPr>
        <w:spacing w:line="360" w:lineRule="auto"/>
        <w:ind w:firstLine="3969"/>
        <w:jc w:val="both"/>
      </w:pPr>
      <w:r w:rsidRPr="001D054F">
        <w:rPr>
          <w:i/>
        </w:rPr>
        <w:t xml:space="preserve">“O § 1º, por sua vez, atribui aos três entes políticos – incluindo, portanto, os Municípios – competência para fiscalizar e controlar o fornecimento de bens ou serviços, no interesse da </w:t>
      </w:r>
      <w:r w:rsidRPr="001D054F">
        <w:rPr>
          <w:b/>
          <w:i/>
        </w:rPr>
        <w:t>preservação da vida, saúde</w:t>
      </w:r>
      <w:r w:rsidRPr="001D054F">
        <w:rPr>
          <w:i/>
        </w:rPr>
        <w:t xml:space="preserve">, segurança, informação e </w:t>
      </w:r>
      <w:proofErr w:type="gramStart"/>
      <w:r w:rsidRPr="001D054F">
        <w:rPr>
          <w:b/>
          <w:i/>
        </w:rPr>
        <w:t>bem estar</w:t>
      </w:r>
      <w:proofErr w:type="gramEnd"/>
      <w:r w:rsidRPr="001D054F">
        <w:rPr>
          <w:b/>
          <w:i/>
        </w:rPr>
        <w:t xml:space="preserve"> do consumidor</w:t>
      </w:r>
      <w:r w:rsidRPr="001D054F">
        <w:rPr>
          <w:i/>
        </w:rPr>
        <w:t xml:space="preserve">, baixando as normas que se fizerem necessárias. Nesta passagem, </w:t>
      </w:r>
      <w:r w:rsidRPr="001D054F">
        <w:rPr>
          <w:b/>
          <w:i/>
        </w:rPr>
        <w:t>o dispositivo tanto faz</w:t>
      </w:r>
      <w:r w:rsidR="001D054F" w:rsidRPr="001D054F">
        <w:rPr>
          <w:b/>
          <w:i/>
        </w:rPr>
        <w:t xml:space="preserve"> </w:t>
      </w:r>
      <w:r w:rsidR="001D054F" w:rsidRPr="001D054F">
        <w:rPr>
          <w:b/>
          <w:i/>
        </w:rPr>
        <w:t xml:space="preserve">alusão às normas ordinárias de consumo quanto às normas de bens ou serviços, expressivas do poder de polícia administrativa, que podem ser editadas por quaisquer entes políticos, nas respectivas áreas de atuação </w:t>
      </w:r>
      <w:proofErr w:type="gramStart"/>
      <w:r w:rsidR="001D054F" w:rsidRPr="001D054F">
        <w:rPr>
          <w:b/>
          <w:i/>
        </w:rPr>
        <w:t>administrativa.”</w:t>
      </w:r>
      <w:proofErr w:type="gramEnd"/>
      <w:r w:rsidR="001D054F" w:rsidRPr="001D054F">
        <w:rPr>
          <w:i/>
        </w:rPr>
        <w:t xml:space="preserve"> </w:t>
      </w:r>
      <w:r w:rsidR="001D054F" w:rsidRPr="000E6AC7">
        <w:t>(</w:t>
      </w:r>
      <w:proofErr w:type="gramStart"/>
      <w:r w:rsidR="001D054F" w:rsidRPr="000E6AC7">
        <w:t>in</w:t>
      </w:r>
      <w:proofErr w:type="gramEnd"/>
      <w:r w:rsidR="001D054F" w:rsidRPr="000E6AC7">
        <w:t>: Código de Defesa do Consumidor: comentado pelos autores do anteprojeto. 5ª ed. Rio do Janeiro: Forense Universitária, 1998. p.468). (</w:t>
      </w:r>
      <w:proofErr w:type="gramStart"/>
      <w:r w:rsidR="001D054F" w:rsidRPr="000E6AC7">
        <w:t>grifamos</w:t>
      </w:r>
      <w:proofErr w:type="gramEnd"/>
      <w:r w:rsidR="001D054F" w:rsidRPr="000E6AC7">
        <w:t>)</w:t>
      </w:r>
    </w:p>
    <w:p w14:paraId="03755152" w14:textId="77777777" w:rsidR="001A2D83" w:rsidRDefault="001A2D83" w:rsidP="001A2D83">
      <w:pPr>
        <w:tabs>
          <w:tab w:val="left" w:pos="1418"/>
        </w:tabs>
        <w:spacing w:line="360" w:lineRule="auto"/>
        <w:jc w:val="both"/>
      </w:pPr>
      <w:r w:rsidRPr="000E6AC7">
        <w:t xml:space="preserve">Segundo o entendimento do Supremo Tribunal Federal, </w:t>
      </w:r>
      <w:r w:rsidRPr="000E6AC7">
        <w:rPr>
          <w:b/>
        </w:rPr>
        <w:t>não invadem a competência Federal as normas editadas pelo Município que protejam mais eficazmente o direito do consumidor, o meio ambiente e a saúde pública, matérias estas inseridas na competência legislativa de todos os entes federativos</w:t>
      </w:r>
      <w:r w:rsidRPr="000E6AC7">
        <w:rPr>
          <w:rStyle w:val="Refdenotaderodap"/>
          <w:b/>
        </w:rPr>
        <w:footnoteReference w:id="7"/>
      </w:r>
      <w:r w:rsidRPr="000E6AC7">
        <w:t>.</w:t>
      </w:r>
    </w:p>
    <w:p w14:paraId="6898FA63" w14:textId="77777777" w:rsidR="001A2D83" w:rsidRDefault="001A2D83" w:rsidP="001A2D83">
      <w:pPr>
        <w:tabs>
          <w:tab w:val="left" w:pos="1418"/>
        </w:tabs>
        <w:spacing w:line="360" w:lineRule="auto"/>
        <w:ind w:firstLine="3969"/>
        <w:jc w:val="both"/>
      </w:pPr>
      <w:r w:rsidRPr="000E6AC7">
        <w:t xml:space="preserve">Ademais, ressalte-se: cabe ao Poder Municipal disciplinar as </w:t>
      </w:r>
      <w:r w:rsidRPr="000E6AC7">
        <w:rPr>
          <w:b/>
        </w:rPr>
        <w:t>atividades econômicas desenvolvidas em seu território</w:t>
      </w:r>
      <w:r w:rsidRPr="000E6AC7">
        <w:t xml:space="preserve"> fixando condições de funcionamento de maneira a garantir </w:t>
      </w:r>
      <w:r w:rsidRPr="000E6AC7">
        <w:rPr>
          <w:b/>
        </w:rPr>
        <w:t>proteção ao meio ambiente e ao bem-estar da população</w:t>
      </w:r>
      <w:r w:rsidRPr="000E6AC7">
        <w:t>.</w:t>
      </w:r>
    </w:p>
    <w:p w14:paraId="343D357D" w14:textId="4FCA8D7E" w:rsidR="001A2D83" w:rsidRPr="000E6AC7" w:rsidRDefault="001A2D83" w:rsidP="001A2D83">
      <w:pPr>
        <w:tabs>
          <w:tab w:val="left" w:pos="1418"/>
        </w:tabs>
        <w:spacing w:line="360" w:lineRule="auto"/>
        <w:ind w:firstLine="3969"/>
        <w:jc w:val="both"/>
      </w:pPr>
      <w:r w:rsidRPr="000E6AC7">
        <w:t xml:space="preserve">A competência legislativa ora discutida encontra fundamento, ainda, no </w:t>
      </w:r>
      <w:r w:rsidRPr="000E6AC7">
        <w:rPr>
          <w:b/>
        </w:rPr>
        <w:t>Poder de Polícia do Município</w:t>
      </w:r>
      <w:r w:rsidRPr="000E6AC7">
        <w:t>, poder inerente à Administração Municipal em benefício da coletividade, cuja definição nos é dada pelo art. 78 do Código Tributário Nacional</w:t>
      </w:r>
      <w:r w:rsidRPr="000E6AC7">
        <w:rPr>
          <w:rStyle w:val="Refdenotaderodap"/>
        </w:rPr>
        <w:footnoteReference w:id="8"/>
      </w:r>
      <w:r w:rsidRPr="000E6AC7">
        <w:t>.</w:t>
      </w:r>
    </w:p>
    <w:p w14:paraId="2B39DC3F" w14:textId="77777777" w:rsidR="001A2D83" w:rsidRPr="000E6AC7" w:rsidRDefault="001A2D83" w:rsidP="001A2D83">
      <w:pPr>
        <w:tabs>
          <w:tab w:val="left" w:pos="1418"/>
        </w:tabs>
        <w:spacing w:line="360" w:lineRule="auto"/>
        <w:jc w:val="both"/>
      </w:pPr>
    </w:p>
    <w:p w14:paraId="65C31C93" w14:textId="77777777" w:rsidR="001A2D83" w:rsidRPr="000E6AC7" w:rsidRDefault="001A2D83" w:rsidP="001A2D83">
      <w:pPr>
        <w:tabs>
          <w:tab w:val="left" w:pos="1418"/>
        </w:tabs>
        <w:spacing w:line="360" w:lineRule="auto"/>
        <w:ind w:firstLine="3969"/>
        <w:jc w:val="both"/>
      </w:pPr>
      <w:r w:rsidRPr="000E6AC7">
        <w:lastRenderedPageBreak/>
        <w:tab/>
        <w:t xml:space="preserve">Nada obsta, portanto, que a Câmara Municipal legisle sobre a venda fracionada e SPD </w:t>
      </w:r>
      <w:r w:rsidRPr="000E6AC7">
        <w:rPr>
          <w:b/>
        </w:rPr>
        <w:t>para proteger o meio ambiente, à saúde de seus munícipes e atender de modo mais eficaz as necessidades dos consumidores</w:t>
      </w:r>
      <w:r w:rsidRPr="000E6AC7">
        <w:t>.</w:t>
      </w:r>
    </w:p>
    <w:p w14:paraId="72A8C62F" w14:textId="77777777" w:rsidR="00B85401" w:rsidRPr="000E6AC7" w:rsidRDefault="00B85401" w:rsidP="00B85401">
      <w:pPr>
        <w:tabs>
          <w:tab w:val="left" w:pos="1418"/>
        </w:tabs>
        <w:spacing w:line="360" w:lineRule="auto"/>
        <w:jc w:val="both"/>
        <w:rPr>
          <w:b/>
        </w:rPr>
      </w:pPr>
      <w:proofErr w:type="gramStart"/>
      <w:r w:rsidRPr="000E6AC7">
        <w:rPr>
          <w:b/>
        </w:rPr>
        <w:t>os</w:t>
      </w:r>
      <w:proofErr w:type="gramEnd"/>
      <w:r w:rsidRPr="000E6AC7">
        <w:rPr>
          <w:b/>
        </w:rPr>
        <w:t xml:space="preserve"> principais fundamentos legais do presente Projeto de Lei se encontram na Constituição Federal e na Lei nº 8078 de 11 de setembro de 1990 (Código de Defesa do Consumidor).</w:t>
      </w:r>
    </w:p>
    <w:p w14:paraId="43F83E75" w14:textId="77777777" w:rsidR="00B85401" w:rsidRPr="00B85401" w:rsidRDefault="00B85401" w:rsidP="00B85401">
      <w:pPr>
        <w:pStyle w:val="Recuodecorpodetexto2"/>
        <w:rPr>
          <w:rFonts w:ascii="Times New Roman" w:hAnsi="Times New Roman"/>
          <w:szCs w:val="24"/>
        </w:rPr>
      </w:pPr>
      <w:r w:rsidRPr="000E6AC7">
        <w:rPr>
          <w:rFonts w:ascii="Times New Roman" w:hAnsi="Times New Roman"/>
          <w:szCs w:val="24"/>
        </w:rPr>
        <w:tab/>
        <w:t>Bem verdade que não dispomos de legitimidade para obrigar a indústria a atender a resolução, todavia gozamos de legitimidade para</w:t>
      </w:r>
      <w:r w:rsidRPr="00B85401">
        <w:rPr>
          <w:rFonts w:ascii="Times New Roman" w:hAnsi="Times New Roman"/>
          <w:szCs w:val="24"/>
        </w:rPr>
        <w:t xml:space="preserve"> viabilizar a prestação do serviço de fracionamento e SPD por farmácias e drogarias de forma a garantir condições de segurança e qualidade dos medicamentos, promovendo o acesso da população e ao mesmo tempo aliviando a Fazenda Pública.</w:t>
      </w:r>
    </w:p>
    <w:p w14:paraId="5BB7BCA6" w14:textId="5461B78B" w:rsidR="00B85401" w:rsidRPr="000E6AC7" w:rsidRDefault="00B85401" w:rsidP="00B85401">
      <w:pPr>
        <w:pStyle w:val="Recuodecorpodetexto2"/>
        <w:rPr>
          <w:rFonts w:ascii="Times New Roman" w:hAnsi="Times New Roman"/>
          <w:szCs w:val="24"/>
        </w:rPr>
      </w:pPr>
      <w:r w:rsidRPr="000E6AC7">
        <w:rPr>
          <w:rFonts w:ascii="Times New Roman" w:hAnsi="Times New Roman"/>
          <w:szCs w:val="24"/>
        </w:rPr>
        <w:t>Reforce-se: ambos os serviços de que trata este PL têm vasto amparo legal e há muito deveriam ter sido implantados em nossas farmácias e drogarias pelos motivos já tradados nesta justificativa.</w:t>
      </w:r>
    </w:p>
    <w:p w14:paraId="02EC7784" w14:textId="43CB431C" w:rsidR="00B85401" w:rsidRPr="000E6AC7" w:rsidRDefault="00B85401" w:rsidP="00B85401">
      <w:pPr>
        <w:pStyle w:val="Recuodecorpodetexto2"/>
        <w:rPr>
          <w:rFonts w:ascii="Times New Roman" w:hAnsi="Times New Roman"/>
          <w:szCs w:val="24"/>
        </w:rPr>
      </w:pPr>
      <w:r w:rsidRPr="000E6AC7">
        <w:rPr>
          <w:rFonts w:ascii="Times New Roman" w:hAnsi="Times New Roman"/>
          <w:szCs w:val="24"/>
        </w:rPr>
        <w:t xml:space="preserve">Devemos salientar que, segundo dados do </w:t>
      </w:r>
      <w:r w:rsidRPr="00B85401">
        <w:rPr>
          <w:rFonts w:ascii="Times New Roman" w:hAnsi="Times New Roman"/>
          <w:szCs w:val="24"/>
        </w:rPr>
        <w:t>Sistema Nacional de Informações Tóxico-Farmacológicas</w:t>
      </w:r>
      <w:r w:rsidRPr="000E6AC7">
        <w:rPr>
          <w:rFonts w:ascii="Times New Roman" w:hAnsi="Times New Roman"/>
          <w:szCs w:val="24"/>
        </w:rPr>
        <w:t xml:space="preserve"> (</w:t>
      </w:r>
      <w:proofErr w:type="spellStart"/>
      <w:r w:rsidRPr="000E6AC7">
        <w:rPr>
          <w:rFonts w:ascii="Times New Roman" w:hAnsi="Times New Roman"/>
          <w:szCs w:val="24"/>
        </w:rPr>
        <w:t>Sinitox</w:t>
      </w:r>
      <w:proofErr w:type="spellEnd"/>
      <w:r w:rsidRPr="000E6AC7">
        <w:rPr>
          <w:rFonts w:ascii="Times New Roman" w:hAnsi="Times New Roman"/>
          <w:szCs w:val="24"/>
        </w:rPr>
        <w:t xml:space="preserve">) da </w:t>
      </w:r>
      <w:r w:rsidRPr="00B85401">
        <w:rPr>
          <w:rFonts w:ascii="Times New Roman" w:hAnsi="Times New Roman"/>
          <w:szCs w:val="24"/>
        </w:rPr>
        <w:t>Fundação Oswaldo Cruz</w:t>
      </w:r>
      <w:r w:rsidRPr="000E6AC7">
        <w:rPr>
          <w:rFonts w:ascii="Times New Roman" w:hAnsi="Times New Roman"/>
          <w:szCs w:val="24"/>
        </w:rPr>
        <w:t xml:space="preserve"> (Fiocruz), em 2009 (dois mil e nove), mais de 26% do total de intoxicações registradas pelos Centros de Informação e Assistência Toxicológica em atividade no Brasil tiveram </w:t>
      </w:r>
      <w:r w:rsidRPr="00B85401">
        <w:rPr>
          <w:rFonts w:ascii="Times New Roman" w:hAnsi="Times New Roman"/>
          <w:szCs w:val="24"/>
        </w:rPr>
        <w:t>os medicamentos como os agentes tóxicos</w:t>
      </w:r>
      <w:r w:rsidRPr="000E6AC7">
        <w:rPr>
          <w:rFonts w:ascii="Times New Roman" w:hAnsi="Times New Roman"/>
          <w:szCs w:val="24"/>
        </w:rPr>
        <w:t xml:space="preserve">. Foram </w:t>
      </w:r>
      <w:r w:rsidRPr="00B85401">
        <w:rPr>
          <w:rFonts w:ascii="Times New Roman" w:hAnsi="Times New Roman"/>
          <w:szCs w:val="24"/>
        </w:rPr>
        <w:t>26.753 (vinte e seis mil, setecentos e cinquenta e três) casos de intoxicação causadas por medicamentos</w:t>
      </w:r>
      <w:r w:rsidRPr="000E6AC7">
        <w:rPr>
          <w:rFonts w:ascii="Times New Roman" w:hAnsi="Times New Roman"/>
          <w:szCs w:val="24"/>
        </w:rPr>
        <w:t xml:space="preserve">, sendo que 12,87% destes casos tiveram como circunstâncias de intoxicações as seguintes condutas: </w:t>
      </w:r>
      <w:r w:rsidRPr="00B85401">
        <w:rPr>
          <w:rFonts w:ascii="Times New Roman" w:hAnsi="Times New Roman"/>
          <w:szCs w:val="24"/>
        </w:rPr>
        <w:t>automedicação; erro de administração; abuso; uso terapêutico indevido</w:t>
      </w:r>
      <w:r w:rsidRPr="000E6AC7">
        <w:rPr>
          <w:rFonts w:ascii="Times New Roman" w:hAnsi="Times New Roman"/>
          <w:szCs w:val="24"/>
        </w:rPr>
        <w:t xml:space="preserve">, totalizando 5363 (cinco mil, trezentos e sessenta e três) casos de intoxicação por medicamentos. Os óbitos causados por intoxicação por medicamentos, nesse período, totalizaram 71 (setenta e um) casos, </w:t>
      </w:r>
      <w:r w:rsidRPr="00B85401">
        <w:rPr>
          <w:rFonts w:ascii="Times New Roman" w:hAnsi="Times New Roman"/>
          <w:szCs w:val="24"/>
        </w:rPr>
        <w:t>representando 17% do total de óbitos por intoxicação</w:t>
      </w:r>
      <w:r w:rsidRPr="00B85401">
        <w:footnoteReference w:id="9"/>
      </w:r>
      <w:r w:rsidRPr="000E6AC7">
        <w:rPr>
          <w:rFonts w:ascii="Times New Roman" w:hAnsi="Times New Roman"/>
          <w:szCs w:val="24"/>
        </w:rPr>
        <w:t>.</w:t>
      </w:r>
    </w:p>
    <w:p w14:paraId="716B433A" w14:textId="77777777" w:rsidR="00B85401" w:rsidRPr="000E6AC7" w:rsidRDefault="00B85401" w:rsidP="00B85401">
      <w:pPr>
        <w:pStyle w:val="Recuodecorpodetexto2"/>
        <w:rPr>
          <w:rFonts w:ascii="Times New Roman" w:hAnsi="Times New Roman"/>
          <w:szCs w:val="24"/>
        </w:rPr>
      </w:pPr>
      <w:r w:rsidRPr="000E6AC7">
        <w:rPr>
          <w:rFonts w:ascii="Times New Roman" w:hAnsi="Times New Roman"/>
          <w:szCs w:val="24"/>
        </w:rPr>
        <w:tab/>
        <w:t xml:space="preserve">Conforme já exposto, a oferta dos serviços de </w:t>
      </w:r>
      <w:proofErr w:type="gramStart"/>
      <w:r w:rsidRPr="000E6AC7">
        <w:rPr>
          <w:rFonts w:ascii="Times New Roman" w:hAnsi="Times New Roman"/>
          <w:szCs w:val="24"/>
        </w:rPr>
        <w:t>fracionamento</w:t>
      </w:r>
      <w:proofErr w:type="gramEnd"/>
      <w:r w:rsidRPr="000E6AC7">
        <w:rPr>
          <w:rFonts w:ascii="Times New Roman" w:hAnsi="Times New Roman"/>
          <w:szCs w:val="24"/>
        </w:rPr>
        <w:t xml:space="preserve"> e SPD tendem a solucionar essa problemática.</w:t>
      </w:r>
    </w:p>
    <w:p w14:paraId="3AFEF923" w14:textId="77777777" w:rsidR="00B85401" w:rsidRPr="002260EE" w:rsidRDefault="00B85401" w:rsidP="00B85401">
      <w:pPr>
        <w:pStyle w:val="Recuodecorpodetexto2"/>
        <w:rPr>
          <w:rFonts w:ascii="Times New Roman" w:hAnsi="Times New Roman"/>
          <w:szCs w:val="24"/>
        </w:rPr>
      </w:pPr>
    </w:p>
    <w:p w14:paraId="62A8914C" w14:textId="41D026C7" w:rsidR="00B85401" w:rsidRPr="000E6AC7" w:rsidRDefault="00B85401" w:rsidP="00B85401">
      <w:pPr>
        <w:pStyle w:val="Recuodecorpodetexto2"/>
        <w:rPr>
          <w:rFonts w:ascii="Times New Roman" w:hAnsi="Times New Roman"/>
          <w:szCs w:val="24"/>
        </w:rPr>
      </w:pPr>
      <w:r w:rsidRPr="000E6AC7">
        <w:rPr>
          <w:rFonts w:ascii="Times New Roman" w:hAnsi="Times New Roman"/>
          <w:szCs w:val="24"/>
        </w:rPr>
        <w:t xml:space="preserve">A </w:t>
      </w:r>
      <w:r w:rsidRPr="00B85401">
        <w:rPr>
          <w:rFonts w:ascii="Times New Roman" w:hAnsi="Times New Roman"/>
          <w:szCs w:val="24"/>
        </w:rPr>
        <w:t>Política Nacional de Assistência Farmacêutica</w:t>
      </w:r>
      <w:r w:rsidRPr="000E6AC7">
        <w:rPr>
          <w:rFonts w:ascii="Times New Roman" w:hAnsi="Times New Roman"/>
          <w:szCs w:val="24"/>
        </w:rPr>
        <w:t xml:space="preserve">, aprovada pela Resolução nº 338/2004 do CNS (Conselho Nacional de Saúde), ressalta a importância da interação direta do farmacêutico com o usuário, visando uma </w:t>
      </w:r>
      <w:proofErr w:type="spellStart"/>
      <w:r w:rsidRPr="000E6AC7">
        <w:rPr>
          <w:rFonts w:ascii="Times New Roman" w:hAnsi="Times New Roman"/>
          <w:szCs w:val="24"/>
        </w:rPr>
        <w:t>farmacoterapia</w:t>
      </w:r>
      <w:proofErr w:type="spellEnd"/>
      <w:r w:rsidRPr="000E6AC7">
        <w:rPr>
          <w:rFonts w:ascii="Times New Roman" w:hAnsi="Times New Roman"/>
          <w:szCs w:val="24"/>
        </w:rPr>
        <w:t xml:space="preserve"> racional e a obtenção de resultados definidos e mensuráveis, voltados para a melhoria da qualidade de vida.</w:t>
      </w:r>
    </w:p>
    <w:p w14:paraId="296035E7" w14:textId="0AAA4971" w:rsidR="00B85401" w:rsidRPr="000E6AC7" w:rsidRDefault="00B85401" w:rsidP="00B85401">
      <w:pPr>
        <w:pStyle w:val="Recuodecorpodetexto2"/>
        <w:rPr>
          <w:rFonts w:ascii="Times New Roman" w:hAnsi="Times New Roman"/>
          <w:szCs w:val="24"/>
        </w:rPr>
      </w:pPr>
      <w:r w:rsidRPr="000E6AC7">
        <w:rPr>
          <w:rFonts w:ascii="Times New Roman" w:hAnsi="Times New Roman"/>
          <w:szCs w:val="24"/>
        </w:rPr>
        <w:t xml:space="preserve">Para a </w:t>
      </w:r>
      <w:r w:rsidRPr="00B85401">
        <w:rPr>
          <w:rFonts w:ascii="Times New Roman" w:hAnsi="Times New Roman"/>
          <w:szCs w:val="24"/>
        </w:rPr>
        <w:t>Organização Mundial de Saúde – OMS</w:t>
      </w:r>
      <w:r w:rsidRPr="000E6AC7">
        <w:rPr>
          <w:rFonts w:ascii="Times New Roman" w:hAnsi="Times New Roman"/>
          <w:szCs w:val="24"/>
        </w:rPr>
        <w:t xml:space="preserve"> o uso racional de medicamentos ocorre quando “pacientes recebem medicamentos apropriados para suas condições clínicas, em doses adequadas às suas necessidades individuais, por um período adequado e ao menor custo para si e para a comunidade</w:t>
      </w:r>
      <w:r w:rsidRPr="00B85401">
        <w:footnoteReference w:id="10"/>
      </w:r>
      <w:r w:rsidRPr="000E6AC7">
        <w:rPr>
          <w:rFonts w:ascii="Times New Roman" w:hAnsi="Times New Roman"/>
          <w:szCs w:val="24"/>
        </w:rPr>
        <w:t>.</w:t>
      </w:r>
    </w:p>
    <w:p w14:paraId="1110F1F3" w14:textId="696C7902" w:rsidR="00B85401" w:rsidRPr="000E6AC7" w:rsidRDefault="00B85401" w:rsidP="00B85401">
      <w:pPr>
        <w:pStyle w:val="Recuodecorpodetexto2"/>
        <w:rPr>
          <w:rFonts w:ascii="Times New Roman" w:hAnsi="Times New Roman"/>
          <w:szCs w:val="24"/>
        </w:rPr>
      </w:pPr>
      <w:r w:rsidRPr="000E6AC7">
        <w:rPr>
          <w:rFonts w:ascii="Times New Roman" w:hAnsi="Times New Roman"/>
          <w:szCs w:val="24"/>
        </w:rPr>
        <w:t xml:space="preserve">O </w:t>
      </w:r>
      <w:r w:rsidRPr="00B85401">
        <w:rPr>
          <w:rFonts w:ascii="Times New Roman" w:hAnsi="Times New Roman"/>
          <w:szCs w:val="24"/>
        </w:rPr>
        <w:t>Ministério da Saúde</w:t>
      </w:r>
      <w:r w:rsidRPr="000E6AC7">
        <w:rPr>
          <w:rFonts w:ascii="Times New Roman" w:hAnsi="Times New Roman"/>
          <w:szCs w:val="24"/>
        </w:rPr>
        <w:t xml:space="preserve"> já se manifestou neste sentido, afirmando que o uso irracional de medicamentos, além de gerar custos ao paciente, que pode não estar sendo tratado da maneira mais adequada e assim levará mais tempo para a cura, também onera o sistema de saúde. Um medicamento desnecessário é utilizado por mais tempo e não se consegue o efeito desejado e, na pior das hipóteses, o medicamento tomado de maneira inadequada pode até prejudicar o paciente</w:t>
      </w:r>
      <w:r w:rsidRPr="00B85401">
        <w:footnoteReference w:id="11"/>
      </w:r>
      <w:r w:rsidRPr="000E6AC7">
        <w:rPr>
          <w:rFonts w:ascii="Times New Roman" w:hAnsi="Times New Roman"/>
          <w:szCs w:val="24"/>
        </w:rPr>
        <w:t>.</w:t>
      </w:r>
    </w:p>
    <w:p w14:paraId="0171D2C9" w14:textId="016B1DF8" w:rsidR="00B85401" w:rsidRPr="000E6AC7" w:rsidRDefault="00B85401" w:rsidP="00B85401">
      <w:pPr>
        <w:pStyle w:val="Recuodecorpodetexto2"/>
        <w:rPr>
          <w:rFonts w:ascii="Times New Roman" w:hAnsi="Times New Roman"/>
          <w:szCs w:val="24"/>
        </w:rPr>
      </w:pPr>
      <w:r w:rsidRPr="000E6AC7">
        <w:rPr>
          <w:rFonts w:ascii="Times New Roman" w:hAnsi="Times New Roman"/>
          <w:szCs w:val="24"/>
        </w:rPr>
        <w:t xml:space="preserve">A </w:t>
      </w:r>
      <w:r w:rsidRPr="00B85401">
        <w:rPr>
          <w:rFonts w:ascii="Times New Roman" w:hAnsi="Times New Roman"/>
          <w:szCs w:val="24"/>
        </w:rPr>
        <w:t>Constituição Federal</w:t>
      </w:r>
      <w:r w:rsidRPr="000E6AC7">
        <w:rPr>
          <w:rFonts w:ascii="Times New Roman" w:hAnsi="Times New Roman"/>
          <w:szCs w:val="24"/>
        </w:rPr>
        <w:t xml:space="preserve">, por sua vez, em seu art. 196, estabelece que a saúde é direito de todos e dever do Estado, garantido mediante políticas sociais e econômicas que visem à redução do risco de doença e de outros agravos. Em seu art. 197 estabelece que são de </w:t>
      </w:r>
      <w:r w:rsidRPr="00B85401">
        <w:rPr>
          <w:rFonts w:ascii="Times New Roman" w:hAnsi="Times New Roman"/>
          <w:szCs w:val="24"/>
        </w:rPr>
        <w:t>relevância pública</w:t>
      </w:r>
      <w:r w:rsidRPr="000E6AC7">
        <w:rPr>
          <w:rFonts w:ascii="Times New Roman" w:hAnsi="Times New Roman"/>
          <w:szCs w:val="24"/>
        </w:rPr>
        <w:t xml:space="preserve"> as ações e serviços de </w:t>
      </w:r>
      <w:r w:rsidRPr="00B85401">
        <w:rPr>
          <w:rFonts w:ascii="Times New Roman" w:hAnsi="Times New Roman"/>
          <w:szCs w:val="24"/>
        </w:rPr>
        <w:t>saúde</w:t>
      </w:r>
      <w:r w:rsidRPr="000E6AC7">
        <w:rPr>
          <w:rFonts w:ascii="Times New Roman" w:hAnsi="Times New Roman"/>
          <w:szCs w:val="24"/>
        </w:rPr>
        <w:t>, cabendo ao Poder Público dispor, nos termos da lei, sobre sua regulamentação, fiscalização e controle.</w:t>
      </w:r>
    </w:p>
    <w:p w14:paraId="2AFD5FEF" w14:textId="05695737" w:rsidR="00B85401" w:rsidRPr="000E6AC7" w:rsidRDefault="00B85401" w:rsidP="00B85401">
      <w:pPr>
        <w:pStyle w:val="Recuodecorpodetexto2"/>
        <w:rPr>
          <w:rFonts w:ascii="Times New Roman" w:hAnsi="Times New Roman"/>
          <w:szCs w:val="24"/>
        </w:rPr>
      </w:pPr>
      <w:r w:rsidRPr="000E6AC7">
        <w:rPr>
          <w:rFonts w:ascii="Times New Roman" w:hAnsi="Times New Roman"/>
          <w:szCs w:val="24"/>
        </w:rPr>
        <w:t xml:space="preserve">Determina a </w:t>
      </w:r>
      <w:r w:rsidRPr="00B85401">
        <w:rPr>
          <w:rFonts w:ascii="Times New Roman" w:hAnsi="Times New Roman"/>
          <w:szCs w:val="24"/>
        </w:rPr>
        <w:t>Constituição Federal</w:t>
      </w:r>
      <w:r w:rsidRPr="000E6AC7">
        <w:rPr>
          <w:rFonts w:ascii="Times New Roman" w:hAnsi="Times New Roman"/>
          <w:szCs w:val="24"/>
        </w:rPr>
        <w:t xml:space="preserve">, ainda, em seu artigo 170, inciso V, que a ordem econômica tem por fim assegurar a todos existência digna, tendo como </w:t>
      </w:r>
      <w:r w:rsidRPr="00B85401">
        <w:rPr>
          <w:rFonts w:ascii="Times New Roman" w:hAnsi="Times New Roman"/>
          <w:szCs w:val="24"/>
        </w:rPr>
        <w:t>princípio a defesa do consumidor</w:t>
      </w:r>
      <w:r w:rsidRPr="000E6AC7">
        <w:rPr>
          <w:rFonts w:ascii="Times New Roman" w:hAnsi="Times New Roman"/>
          <w:szCs w:val="24"/>
        </w:rPr>
        <w:t>.</w:t>
      </w:r>
    </w:p>
    <w:p w14:paraId="49DB73E6" w14:textId="77777777" w:rsidR="00156EDD" w:rsidRDefault="00B85401" w:rsidP="00B85401">
      <w:pPr>
        <w:pStyle w:val="Recuodecorpodetexto2"/>
        <w:rPr>
          <w:rFonts w:ascii="Times New Roman" w:hAnsi="Times New Roman"/>
          <w:szCs w:val="24"/>
        </w:rPr>
      </w:pPr>
      <w:r w:rsidRPr="000E6AC7">
        <w:rPr>
          <w:rFonts w:ascii="Times New Roman" w:hAnsi="Times New Roman"/>
          <w:szCs w:val="24"/>
        </w:rPr>
        <w:lastRenderedPageBreak/>
        <w:t xml:space="preserve">Já o </w:t>
      </w:r>
      <w:r w:rsidRPr="00B85401">
        <w:rPr>
          <w:rFonts w:ascii="Times New Roman" w:hAnsi="Times New Roman"/>
          <w:szCs w:val="24"/>
        </w:rPr>
        <w:t>Código de Defesa do Consumidor - CDC</w:t>
      </w:r>
      <w:r w:rsidRPr="000E6AC7">
        <w:rPr>
          <w:rFonts w:ascii="Times New Roman" w:hAnsi="Times New Roman"/>
          <w:szCs w:val="24"/>
        </w:rPr>
        <w:t xml:space="preserve"> em seu artigo 4º</w:t>
      </w:r>
      <w:r w:rsidRPr="00B85401">
        <w:footnoteReference w:id="12"/>
      </w:r>
      <w:r w:rsidRPr="000E6AC7">
        <w:rPr>
          <w:rFonts w:ascii="Times New Roman" w:hAnsi="Times New Roman"/>
          <w:szCs w:val="24"/>
        </w:rPr>
        <w:t xml:space="preserve"> estipula que a Política Nacional das Relações de Consumo tem por objetivo o </w:t>
      </w:r>
      <w:r w:rsidRPr="00B85401">
        <w:rPr>
          <w:rFonts w:ascii="Times New Roman" w:hAnsi="Times New Roman"/>
          <w:szCs w:val="24"/>
        </w:rPr>
        <w:t>atendimento das necessidades dos consumidores, o respeito à sua dignidade, saúde e segurança, a proteção de seus interesses econômicos, a melhoria da sua qualidade de vida, bem como a transparência e harmonia das relações de consumo</w:t>
      </w:r>
      <w:r w:rsidRPr="000E6AC7">
        <w:rPr>
          <w:rFonts w:ascii="Times New Roman" w:hAnsi="Times New Roman"/>
          <w:szCs w:val="24"/>
        </w:rPr>
        <w:t>, atendidos os seguintes princípios:</w:t>
      </w:r>
      <w:r w:rsidR="00156EDD">
        <w:rPr>
          <w:rFonts w:ascii="Times New Roman" w:hAnsi="Times New Roman"/>
          <w:szCs w:val="24"/>
        </w:rPr>
        <w:t xml:space="preserve"> 1</w:t>
      </w:r>
    </w:p>
    <w:p w14:paraId="1A3576AB" w14:textId="4D954293" w:rsidR="00B85401" w:rsidRPr="000E6AC7" w:rsidRDefault="00156EDD" w:rsidP="00B85401">
      <w:pPr>
        <w:pStyle w:val="Recuodecorpodetexto2"/>
        <w:rPr>
          <w:rFonts w:ascii="Times New Roman" w:hAnsi="Times New Roman"/>
          <w:szCs w:val="24"/>
        </w:rPr>
      </w:pPr>
      <w:r>
        <w:rPr>
          <w:rFonts w:ascii="Times New Roman" w:hAnsi="Times New Roman"/>
          <w:szCs w:val="24"/>
        </w:rPr>
        <w:t xml:space="preserve">- </w:t>
      </w:r>
      <w:proofErr w:type="gramStart"/>
      <w:r w:rsidR="00B85401" w:rsidRPr="000E6AC7">
        <w:rPr>
          <w:rFonts w:ascii="Times New Roman" w:hAnsi="Times New Roman"/>
          <w:szCs w:val="24"/>
        </w:rPr>
        <w:t>reconhecimento</w:t>
      </w:r>
      <w:proofErr w:type="gramEnd"/>
      <w:r w:rsidR="00B85401" w:rsidRPr="000E6AC7">
        <w:rPr>
          <w:rFonts w:ascii="Times New Roman" w:hAnsi="Times New Roman"/>
          <w:szCs w:val="24"/>
        </w:rPr>
        <w:t xml:space="preserve"> da vulnerabilidade do consumidor no mercado de consumo;</w:t>
      </w:r>
    </w:p>
    <w:p w14:paraId="42FA3865" w14:textId="77777777" w:rsidR="00B85401" w:rsidRPr="000E6AC7" w:rsidRDefault="00B85401" w:rsidP="00B85401">
      <w:pPr>
        <w:pStyle w:val="Recuodecorpodetexto2"/>
        <w:rPr>
          <w:rFonts w:ascii="Times New Roman" w:hAnsi="Times New Roman"/>
          <w:szCs w:val="24"/>
        </w:rPr>
      </w:pPr>
      <w:r w:rsidRPr="000E6AC7">
        <w:rPr>
          <w:rFonts w:ascii="Times New Roman" w:hAnsi="Times New Roman"/>
          <w:szCs w:val="24"/>
        </w:rPr>
        <w:t xml:space="preserve">- </w:t>
      </w:r>
      <w:proofErr w:type="gramStart"/>
      <w:r w:rsidRPr="000E6AC7">
        <w:rPr>
          <w:rFonts w:ascii="Times New Roman" w:hAnsi="Times New Roman"/>
          <w:szCs w:val="24"/>
        </w:rPr>
        <w:t>ação</w:t>
      </w:r>
      <w:proofErr w:type="gramEnd"/>
      <w:r w:rsidRPr="000E6AC7">
        <w:rPr>
          <w:rFonts w:ascii="Times New Roman" w:hAnsi="Times New Roman"/>
          <w:szCs w:val="24"/>
        </w:rPr>
        <w:t xml:space="preserve"> governamental no sentido de proteger efetivamente o consumidor;</w:t>
      </w:r>
    </w:p>
    <w:p w14:paraId="35005CE6" w14:textId="77777777" w:rsidR="00B85401" w:rsidRPr="000E6AC7" w:rsidRDefault="00B85401" w:rsidP="00B85401">
      <w:pPr>
        <w:pStyle w:val="Recuodecorpodetexto2"/>
        <w:rPr>
          <w:rFonts w:ascii="Times New Roman" w:hAnsi="Times New Roman"/>
          <w:szCs w:val="24"/>
        </w:rPr>
      </w:pPr>
      <w:r w:rsidRPr="000E6AC7">
        <w:rPr>
          <w:rFonts w:ascii="Times New Roman" w:hAnsi="Times New Roman"/>
          <w:szCs w:val="24"/>
        </w:rPr>
        <w:t xml:space="preserve">- </w:t>
      </w:r>
      <w:proofErr w:type="gramStart"/>
      <w:r w:rsidRPr="000E6AC7">
        <w:rPr>
          <w:rFonts w:ascii="Times New Roman" w:hAnsi="Times New Roman"/>
          <w:szCs w:val="24"/>
        </w:rPr>
        <w:t>garantia</w:t>
      </w:r>
      <w:proofErr w:type="gramEnd"/>
      <w:r w:rsidRPr="000E6AC7">
        <w:rPr>
          <w:rFonts w:ascii="Times New Roman" w:hAnsi="Times New Roman"/>
          <w:szCs w:val="24"/>
        </w:rPr>
        <w:t xml:space="preserve"> dos produtos e serviços com padrões adequados de qualidade, segurança, durabilidade e desempenho.</w:t>
      </w:r>
    </w:p>
    <w:p w14:paraId="05810923" w14:textId="7227DF49" w:rsidR="00B85401" w:rsidRPr="000E6AC7" w:rsidRDefault="00B85401" w:rsidP="00B85401">
      <w:pPr>
        <w:pStyle w:val="Recuodecorpodetexto2"/>
        <w:rPr>
          <w:rFonts w:ascii="Times New Roman" w:hAnsi="Times New Roman"/>
          <w:szCs w:val="24"/>
        </w:rPr>
      </w:pPr>
      <w:r w:rsidRPr="000E6AC7">
        <w:rPr>
          <w:rFonts w:ascii="Times New Roman" w:hAnsi="Times New Roman"/>
          <w:szCs w:val="24"/>
        </w:rPr>
        <w:t xml:space="preserve">Este mesmo diploma legal veda ao fornecedor de produtos ou serviços prevalecer-se da </w:t>
      </w:r>
      <w:r w:rsidRPr="00B85401">
        <w:rPr>
          <w:rFonts w:ascii="Times New Roman" w:hAnsi="Times New Roman"/>
          <w:szCs w:val="24"/>
        </w:rPr>
        <w:t>fraqueza</w:t>
      </w:r>
      <w:r w:rsidRPr="000E6AC7">
        <w:rPr>
          <w:rFonts w:ascii="Times New Roman" w:hAnsi="Times New Roman"/>
          <w:szCs w:val="24"/>
        </w:rPr>
        <w:t xml:space="preserve"> ou ignorância do consumidor, tendo em vista sua idade, </w:t>
      </w:r>
      <w:r w:rsidRPr="00B85401">
        <w:rPr>
          <w:rFonts w:ascii="Times New Roman" w:hAnsi="Times New Roman"/>
          <w:szCs w:val="24"/>
        </w:rPr>
        <w:t>saúde</w:t>
      </w:r>
      <w:r w:rsidRPr="000E6AC7">
        <w:rPr>
          <w:rFonts w:ascii="Times New Roman" w:hAnsi="Times New Roman"/>
          <w:szCs w:val="24"/>
        </w:rPr>
        <w:t xml:space="preserve">, conhecimento ou condição social, para </w:t>
      </w:r>
      <w:r w:rsidRPr="00B85401">
        <w:rPr>
          <w:rFonts w:ascii="Times New Roman" w:hAnsi="Times New Roman"/>
          <w:szCs w:val="24"/>
        </w:rPr>
        <w:t>impingir-lhe seus produtos</w:t>
      </w:r>
      <w:r w:rsidRPr="000E6AC7">
        <w:rPr>
          <w:rFonts w:ascii="Times New Roman" w:hAnsi="Times New Roman"/>
          <w:szCs w:val="24"/>
        </w:rPr>
        <w:t xml:space="preserve"> ou serviços, sendo devido, também, fornecer produtos e serviços que </w:t>
      </w:r>
      <w:r w:rsidRPr="00B85401">
        <w:rPr>
          <w:rFonts w:ascii="Times New Roman" w:hAnsi="Times New Roman"/>
          <w:szCs w:val="24"/>
        </w:rPr>
        <w:t>não acarretem riscos à saúde e segurança dos consumidores</w:t>
      </w:r>
      <w:r w:rsidRPr="000E6AC7">
        <w:rPr>
          <w:rFonts w:ascii="Times New Roman" w:hAnsi="Times New Roman"/>
          <w:szCs w:val="24"/>
        </w:rPr>
        <w:t>, devendo informar o consumidor a este respeito da forma necessária e adequada, conforme art. 8º e 39.</w:t>
      </w:r>
    </w:p>
    <w:p w14:paraId="4705AF06" w14:textId="03E6F017" w:rsidR="00B85401" w:rsidRPr="000E6AC7" w:rsidRDefault="00B85401" w:rsidP="00B85401">
      <w:pPr>
        <w:pStyle w:val="Recuodecorpodetexto2"/>
        <w:rPr>
          <w:rFonts w:ascii="Times New Roman" w:hAnsi="Times New Roman"/>
          <w:szCs w:val="24"/>
        </w:rPr>
      </w:pPr>
      <w:r w:rsidRPr="00B85401">
        <w:rPr>
          <w:rFonts w:ascii="Times New Roman" w:hAnsi="Times New Roman"/>
          <w:szCs w:val="24"/>
        </w:rPr>
        <w:t xml:space="preserve">Ademais, a </w:t>
      </w:r>
      <w:r w:rsidRPr="000E6AC7">
        <w:rPr>
          <w:rFonts w:ascii="Times New Roman" w:hAnsi="Times New Roman"/>
          <w:szCs w:val="24"/>
        </w:rPr>
        <w:t xml:space="preserve">relação de consumo deve respeitar o </w:t>
      </w:r>
      <w:r w:rsidRPr="00B85401">
        <w:rPr>
          <w:rFonts w:ascii="Times New Roman" w:hAnsi="Times New Roman"/>
          <w:szCs w:val="24"/>
        </w:rPr>
        <w:t>princípio da boa-fé</w:t>
      </w:r>
      <w:r w:rsidRPr="000E6AC7">
        <w:rPr>
          <w:rFonts w:ascii="Times New Roman" w:hAnsi="Times New Roman"/>
          <w:szCs w:val="24"/>
        </w:rPr>
        <w:t xml:space="preserve">. Impor ao consumidor a compra de quantidade superior </w:t>
      </w:r>
      <w:proofErr w:type="spellStart"/>
      <w:r w:rsidRPr="000E6AC7">
        <w:rPr>
          <w:rFonts w:ascii="Times New Roman" w:hAnsi="Times New Roman"/>
          <w:szCs w:val="24"/>
        </w:rPr>
        <w:t>a</w:t>
      </w:r>
      <w:proofErr w:type="spellEnd"/>
      <w:r w:rsidRPr="000E6AC7">
        <w:rPr>
          <w:rFonts w:ascii="Times New Roman" w:hAnsi="Times New Roman"/>
          <w:szCs w:val="24"/>
        </w:rPr>
        <w:t xml:space="preserve"> que necessita para o seu tratamento, existindo a possibilidade dele adquirir tão somente o que lhe será útil é, sem dúvida, </w:t>
      </w:r>
      <w:r w:rsidRPr="00B85401">
        <w:rPr>
          <w:rFonts w:ascii="Times New Roman" w:hAnsi="Times New Roman"/>
          <w:szCs w:val="24"/>
        </w:rPr>
        <w:t>gerar-lhe prejuízo financeiro e riscos à saúde</w:t>
      </w:r>
      <w:r w:rsidRPr="000E6AC7">
        <w:rPr>
          <w:rFonts w:ascii="Times New Roman" w:hAnsi="Times New Roman"/>
          <w:szCs w:val="24"/>
        </w:rPr>
        <w:t xml:space="preserve">. Além disso, pode-se considerar </w:t>
      </w:r>
      <w:r w:rsidRPr="00B85401">
        <w:rPr>
          <w:rFonts w:ascii="Times New Roman" w:hAnsi="Times New Roman"/>
          <w:szCs w:val="24"/>
        </w:rPr>
        <w:t>enriquecimento sem causa</w:t>
      </w:r>
      <w:r w:rsidRPr="000E6AC7">
        <w:rPr>
          <w:rFonts w:ascii="Times New Roman" w:hAnsi="Times New Roman"/>
          <w:szCs w:val="24"/>
        </w:rPr>
        <w:t xml:space="preserve"> daqueles que poderiam ter facilitado o acesso e não o fizeram, </w:t>
      </w:r>
      <w:r w:rsidRPr="00B85401">
        <w:rPr>
          <w:rFonts w:ascii="Times New Roman" w:hAnsi="Times New Roman"/>
          <w:szCs w:val="24"/>
        </w:rPr>
        <w:t>prestigiando o lucro em detrimento da saúde.</w:t>
      </w:r>
    </w:p>
    <w:p w14:paraId="7EB769AF" w14:textId="5A496D89" w:rsidR="00B85401" w:rsidRPr="00B85401" w:rsidRDefault="00B85401" w:rsidP="00B85401">
      <w:pPr>
        <w:pStyle w:val="Recuodecorpodetexto2"/>
        <w:rPr>
          <w:rFonts w:ascii="Times New Roman" w:hAnsi="Times New Roman"/>
          <w:szCs w:val="24"/>
        </w:rPr>
      </w:pPr>
      <w:r w:rsidRPr="00B85401">
        <w:rPr>
          <w:rFonts w:ascii="Times New Roman" w:hAnsi="Times New Roman"/>
          <w:szCs w:val="24"/>
        </w:rPr>
        <w:lastRenderedPageBreak/>
        <w:t xml:space="preserve">Ao tema também se aplica o Princípio da Proteção que </w:t>
      </w:r>
      <w:proofErr w:type="gramStart"/>
      <w:r w:rsidRPr="00B85401">
        <w:rPr>
          <w:rFonts w:ascii="Times New Roman" w:hAnsi="Times New Roman"/>
          <w:szCs w:val="24"/>
        </w:rPr>
        <w:t>encontra-se</w:t>
      </w:r>
      <w:proofErr w:type="gramEnd"/>
      <w:r w:rsidRPr="00B85401">
        <w:rPr>
          <w:rFonts w:ascii="Times New Roman" w:hAnsi="Times New Roman"/>
          <w:szCs w:val="24"/>
        </w:rPr>
        <w:t xml:space="preserve"> implícito no art.</w:t>
      </w:r>
      <w:hyperlink r:id="rId8" w:tooltip="Artigo 6 da Lei nº 8.078 de 11 de Setembro de 1990" w:history="1">
        <w:r w:rsidRPr="00B85401">
          <w:rPr>
            <w:rFonts w:ascii="Times New Roman" w:hAnsi="Times New Roman"/>
            <w:szCs w:val="24"/>
          </w:rPr>
          <w:t>6º</w:t>
        </w:r>
      </w:hyperlink>
      <w:r w:rsidRPr="00B85401">
        <w:rPr>
          <w:rFonts w:ascii="Times New Roman" w:hAnsi="Times New Roman"/>
          <w:szCs w:val="24"/>
        </w:rPr>
        <w:t xml:space="preserve"> do </w:t>
      </w:r>
      <w:hyperlink r:id="rId9" w:tooltip="Lei nº 8.078, de 11 de setembro de 1990." w:history="1">
        <w:r w:rsidRPr="00B85401">
          <w:rPr>
            <w:rFonts w:ascii="Times New Roman" w:hAnsi="Times New Roman"/>
            <w:szCs w:val="24"/>
          </w:rPr>
          <w:t>CDC</w:t>
        </w:r>
      </w:hyperlink>
      <w:r w:rsidRPr="00B85401">
        <w:rPr>
          <w:rFonts w:ascii="Times New Roman" w:hAnsi="Times New Roman"/>
          <w:szCs w:val="24"/>
        </w:rPr>
        <w:t>. Ele consagra a proteção básica aos bens jurídicos mais relevantes, a saber:</w:t>
      </w:r>
    </w:p>
    <w:p w14:paraId="09FC17BC" w14:textId="77777777" w:rsidR="00B85401" w:rsidRPr="00B85401" w:rsidRDefault="00B85401" w:rsidP="00B85401">
      <w:pPr>
        <w:pStyle w:val="Recuodecorpodetexto2"/>
        <w:rPr>
          <w:rFonts w:ascii="Times New Roman" w:hAnsi="Times New Roman"/>
          <w:szCs w:val="24"/>
        </w:rPr>
      </w:pPr>
      <w:r w:rsidRPr="00B85401">
        <w:rPr>
          <w:rFonts w:ascii="Times New Roman" w:hAnsi="Times New Roman"/>
          <w:szCs w:val="24"/>
        </w:rPr>
        <w:t>- Incolumidade física (inciso I): refere-se ao direito à vida, à saúde e segurança do consumidor em relação aos riscos oferecidos por produtos e serviços considerados perigosos ou nocivos;</w:t>
      </w:r>
    </w:p>
    <w:p w14:paraId="261DBA14" w14:textId="77777777" w:rsidR="00B85401" w:rsidRPr="00B85401" w:rsidRDefault="00B85401" w:rsidP="00B85401">
      <w:pPr>
        <w:pStyle w:val="Recuodecorpodetexto2"/>
        <w:rPr>
          <w:rFonts w:ascii="Times New Roman" w:hAnsi="Times New Roman"/>
          <w:szCs w:val="24"/>
        </w:rPr>
      </w:pPr>
      <w:r w:rsidRPr="00B85401">
        <w:rPr>
          <w:rFonts w:ascii="Times New Roman" w:hAnsi="Times New Roman"/>
          <w:szCs w:val="24"/>
        </w:rPr>
        <w:t>- Incolumidade econômica (incisos III e IV): relaciona-se aos riscos de lesão econômica afetos a preço, características dos produtos e serviços, práticas abusivas etc.</w:t>
      </w:r>
    </w:p>
    <w:p w14:paraId="0DE5A878" w14:textId="77777777" w:rsidR="004A6F0B" w:rsidRDefault="00B85401" w:rsidP="00B85401">
      <w:pPr>
        <w:pStyle w:val="Recuodecorpodetexto2"/>
        <w:rPr>
          <w:rFonts w:ascii="Times New Roman" w:hAnsi="Times New Roman"/>
          <w:szCs w:val="24"/>
        </w:rPr>
      </w:pPr>
      <w:r w:rsidRPr="000E6AC7">
        <w:rPr>
          <w:rFonts w:ascii="Times New Roman" w:hAnsi="Times New Roman"/>
          <w:szCs w:val="24"/>
        </w:rPr>
        <w:t xml:space="preserve">O </w:t>
      </w:r>
      <w:r w:rsidRPr="00B85401">
        <w:rPr>
          <w:rFonts w:ascii="Times New Roman" w:hAnsi="Times New Roman"/>
          <w:szCs w:val="24"/>
        </w:rPr>
        <w:t>Sistema Único de Saúde (SUS)</w:t>
      </w:r>
      <w:r w:rsidRPr="000E6AC7">
        <w:rPr>
          <w:rFonts w:ascii="Times New Roman" w:hAnsi="Times New Roman"/>
          <w:szCs w:val="24"/>
        </w:rPr>
        <w:t xml:space="preserve">, por sua vez, regulado pela Lei nº 8.080, de 19 de setembro de 1990, complementada pela Lei nº 8.142, de 28 de dezembro de 1990, chamadas conjuntamente de </w:t>
      </w:r>
      <w:r w:rsidRPr="00B85401">
        <w:rPr>
          <w:rFonts w:ascii="Times New Roman" w:hAnsi="Times New Roman"/>
          <w:szCs w:val="24"/>
        </w:rPr>
        <w:t>leis orgânicas da saúde</w:t>
      </w:r>
      <w:r w:rsidRPr="000E6AC7">
        <w:rPr>
          <w:rFonts w:ascii="Times New Roman" w:hAnsi="Times New Roman"/>
          <w:szCs w:val="24"/>
        </w:rPr>
        <w:t>, tratam dos princípios e diretrizes do SUS</w:t>
      </w:r>
      <w:r w:rsidRPr="00B85401">
        <w:footnoteReference w:id="13"/>
      </w:r>
      <w:r w:rsidRPr="000E6AC7">
        <w:rPr>
          <w:rFonts w:ascii="Times New Roman" w:hAnsi="Times New Roman"/>
          <w:szCs w:val="24"/>
        </w:rPr>
        <w:t>.</w:t>
      </w:r>
    </w:p>
    <w:p w14:paraId="3C0F9B0A" w14:textId="514BA1ED" w:rsidR="00B85401" w:rsidRPr="000E6AC7" w:rsidRDefault="00B85401" w:rsidP="00B85401">
      <w:pPr>
        <w:pStyle w:val="Recuodecorpodetexto2"/>
        <w:rPr>
          <w:rFonts w:ascii="Times New Roman" w:hAnsi="Times New Roman"/>
          <w:szCs w:val="24"/>
        </w:rPr>
      </w:pPr>
      <w:r w:rsidRPr="000E6AC7">
        <w:rPr>
          <w:rFonts w:ascii="Times New Roman" w:hAnsi="Times New Roman"/>
          <w:szCs w:val="24"/>
        </w:rPr>
        <w:t>O fornecimento de medicamentos aos beneficiários do SUS está previsto no art. 6º da Lei nº 8.080/90</w:t>
      </w:r>
      <w:r w:rsidRPr="00B85401">
        <w:footnoteReference w:id="14"/>
      </w:r>
      <w:r w:rsidRPr="000E6AC7">
        <w:rPr>
          <w:rFonts w:ascii="Times New Roman" w:hAnsi="Times New Roman"/>
          <w:szCs w:val="24"/>
        </w:rPr>
        <w:t xml:space="preserve">. Vale dizer que os </w:t>
      </w:r>
      <w:r w:rsidRPr="00B85401">
        <w:rPr>
          <w:rFonts w:ascii="Times New Roman" w:hAnsi="Times New Roman"/>
          <w:szCs w:val="24"/>
        </w:rPr>
        <w:t>medicamentos</w:t>
      </w:r>
      <w:r w:rsidRPr="000E6AC7">
        <w:rPr>
          <w:rFonts w:ascii="Times New Roman" w:hAnsi="Times New Roman"/>
          <w:szCs w:val="24"/>
        </w:rPr>
        <w:t xml:space="preserve"> estão incluídos na assistência prestada pelo SUS, em qualquer caso, seja na atenção básica à saúde, na atenção de média complexidade (especialidades) ou na alta complexidade.</w:t>
      </w:r>
    </w:p>
    <w:p w14:paraId="60E236A8" w14:textId="381D19CB" w:rsidR="00B85401" w:rsidRPr="000E6AC7" w:rsidRDefault="00B85401" w:rsidP="00B85401">
      <w:pPr>
        <w:pStyle w:val="Recuodecorpodetexto2"/>
        <w:rPr>
          <w:rFonts w:ascii="Times New Roman" w:hAnsi="Times New Roman"/>
          <w:szCs w:val="24"/>
        </w:rPr>
      </w:pPr>
      <w:r w:rsidRPr="000E6AC7">
        <w:rPr>
          <w:rFonts w:ascii="Times New Roman" w:hAnsi="Times New Roman"/>
          <w:szCs w:val="24"/>
        </w:rPr>
        <w:t xml:space="preserve">A </w:t>
      </w:r>
      <w:r w:rsidRPr="00B85401">
        <w:rPr>
          <w:rFonts w:ascii="Times New Roman" w:hAnsi="Times New Roman"/>
          <w:szCs w:val="24"/>
        </w:rPr>
        <w:t>integralidade da assistência é um dos princípios basilares do SUS</w:t>
      </w:r>
      <w:r w:rsidRPr="000E6AC7">
        <w:rPr>
          <w:rFonts w:ascii="Times New Roman" w:hAnsi="Times New Roman"/>
          <w:szCs w:val="24"/>
        </w:rPr>
        <w:t xml:space="preserve">. O medicamento é um componente essencial e cuja disponibilidade necessita ser garantida. Existe todo um arcabouço legal e normativo no tocante aos medicamentos no </w:t>
      </w:r>
      <w:r w:rsidRPr="000E6AC7">
        <w:rPr>
          <w:rFonts w:ascii="Times New Roman" w:hAnsi="Times New Roman"/>
          <w:szCs w:val="24"/>
        </w:rPr>
        <w:lastRenderedPageBreak/>
        <w:t>SUS. Dentre os principais podemos citar a Portaria GM nº 374 de 28 de fevereiro de 2008 que institui no âmbito do Sistema Único de Saúde - SUS, o Programa Nacional de Fomento à Produção Pública e Inovação no Complexo Industrial da Saúde.</w:t>
      </w:r>
    </w:p>
    <w:p w14:paraId="6DCC5763" w14:textId="45265A51" w:rsidR="00666C49" w:rsidRDefault="00666C49" w:rsidP="00842BD0">
      <w:pPr>
        <w:pStyle w:val="Recuodecorpodetexto"/>
        <w:ind w:firstLine="3969"/>
        <w:rPr>
          <w:rFonts w:ascii="Times New Roman" w:hAnsi="Times New Roman"/>
          <w:szCs w:val="24"/>
        </w:rPr>
      </w:pPr>
      <w:r>
        <w:rPr>
          <w:rFonts w:ascii="Times New Roman" w:hAnsi="Times New Roman"/>
          <w:szCs w:val="24"/>
        </w:rPr>
        <w:t>A aprovação da matéria depende da votação da maioria dos membros, Art.162 do Regimento Interno:</w:t>
      </w:r>
    </w:p>
    <w:p w14:paraId="53416913" w14:textId="77777777" w:rsidR="00666C49" w:rsidRPr="00AA12F8" w:rsidRDefault="00666C49" w:rsidP="00842BD0">
      <w:pPr>
        <w:pStyle w:val="Recuodecorpodetexto2"/>
        <w:ind w:firstLine="3686"/>
        <w:rPr>
          <w:rFonts w:ascii="Times New Roman" w:hAnsi="Times New Roman"/>
          <w:i/>
          <w:szCs w:val="24"/>
        </w:rPr>
      </w:pPr>
      <w:r>
        <w:rPr>
          <w:rFonts w:ascii="Times New Roman" w:hAnsi="Times New Roman"/>
          <w:i/>
          <w:szCs w:val="24"/>
        </w:rPr>
        <w:t>“</w:t>
      </w:r>
      <w:r w:rsidRPr="00AA12F8">
        <w:rPr>
          <w:rFonts w:ascii="Times New Roman" w:hAnsi="Times New Roman"/>
          <w:i/>
          <w:szCs w:val="24"/>
        </w:rPr>
        <w:t>Art. 162. Todas as deliberações da Câmara, salvo disposição expressa em contrário, serão tomadas por maioria de votos, presente a ma</w:t>
      </w:r>
      <w:r>
        <w:rPr>
          <w:rFonts w:ascii="Times New Roman" w:hAnsi="Times New Roman"/>
          <w:i/>
          <w:szCs w:val="24"/>
        </w:rPr>
        <w:t>ioria absoluta dos seus membros”.</w:t>
      </w:r>
    </w:p>
    <w:p w14:paraId="164D2506" w14:textId="77777777" w:rsidR="0082460C" w:rsidRPr="001F35E0" w:rsidRDefault="0082460C" w:rsidP="0082460C">
      <w:pPr>
        <w:pStyle w:val="Recuodecorpodetexto2"/>
        <w:rPr>
          <w:rFonts w:ascii="Times New Roman" w:hAnsi="Times New Roman"/>
          <w:szCs w:val="24"/>
        </w:rPr>
      </w:pPr>
      <w:r w:rsidRPr="001F35E0">
        <w:rPr>
          <w:rFonts w:ascii="Times New Roman" w:hAnsi="Times New Roman"/>
          <w:szCs w:val="24"/>
        </w:rPr>
        <w:t xml:space="preserve">Sob o aspecto jurídico, nada a opor. </w:t>
      </w:r>
    </w:p>
    <w:p w14:paraId="289219B8" w14:textId="77777777" w:rsidR="0082460C" w:rsidRDefault="0082460C" w:rsidP="0082460C">
      <w:pPr>
        <w:pStyle w:val="Recuodecorpodetexto"/>
        <w:ind w:firstLine="3969"/>
        <w:rPr>
          <w:rFonts w:ascii="Times New Roman" w:hAnsi="Times New Roman"/>
          <w:szCs w:val="24"/>
        </w:rPr>
      </w:pPr>
      <w:r>
        <w:rPr>
          <w:rFonts w:ascii="Times New Roman" w:hAnsi="Times New Roman"/>
          <w:szCs w:val="24"/>
        </w:rPr>
        <w:t xml:space="preserve">É o parecer.   </w:t>
      </w:r>
    </w:p>
    <w:p w14:paraId="764A8E3C" w14:textId="58E2FB40" w:rsidR="0061436C" w:rsidRDefault="0061436C" w:rsidP="0082460C">
      <w:pPr>
        <w:pStyle w:val="Recuodecorpodetexto"/>
        <w:ind w:firstLine="3969"/>
        <w:rPr>
          <w:rFonts w:ascii="Times New Roman" w:hAnsi="Times New Roman"/>
          <w:szCs w:val="24"/>
        </w:rPr>
      </w:pPr>
      <w:r>
        <w:rPr>
          <w:rFonts w:ascii="Times New Roman" w:hAnsi="Times New Roman"/>
          <w:szCs w:val="24"/>
        </w:rPr>
        <w:t xml:space="preserve">Sorocaba, </w:t>
      </w:r>
      <w:r w:rsidR="0005497F">
        <w:rPr>
          <w:rFonts w:ascii="Times New Roman" w:hAnsi="Times New Roman"/>
          <w:szCs w:val="24"/>
        </w:rPr>
        <w:t xml:space="preserve">13 de junho </w:t>
      </w:r>
      <w:r w:rsidR="00FF3BD9">
        <w:rPr>
          <w:rFonts w:ascii="Times New Roman" w:hAnsi="Times New Roman"/>
          <w:szCs w:val="24"/>
        </w:rPr>
        <w:t>de 2018</w:t>
      </w:r>
      <w:r>
        <w:rPr>
          <w:rFonts w:ascii="Times New Roman" w:hAnsi="Times New Roman"/>
          <w:szCs w:val="24"/>
        </w:rPr>
        <w:t>.</w:t>
      </w:r>
    </w:p>
    <w:p w14:paraId="45A2F495" w14:textId="77777777" w:rsidR="00D31C4F" w:rsidRPr="00B46627" w:rsidRDefault="00D31C4F" w:rsidP="00D31C4F">
      <w:pPr>
        <w:pStyle w:val="Recuodecorpodetexto2"/>
        <w:rPr>
          <w:rFonts w:ascii="Times New Roman" w:hAnsi="Times New Roman"/>
          <w:szCs w:val="24"/>
        </w:rPr>
      </w:pPr>
    </w:p>
    <w:p w14:paraId="7D00720F" w14:textId="653FCA13" w:rsidR="00A73C1B" w:rsidRPr="00955C5D" w:rsidRDefault="00EA082C" w:rsidP="00EA082C">
      <w:pPr>
        <w:pStyle w:val="Recuodecorpodetexto2"/>
        <w:spacing w:line="240" w:lineRule="auto"/>
        <w:rPr>
          <w:rFonts w:ascii="Times New Roman" w:hAnsi="Times New Roman"/>
          <w:b/>
          <w:bCs/>
          <w:szCs w:val="24"/>
        </w:rPr>
      </w:pPr>
      <w:r w:rsidRPr="00955C5D">
        <w:rPr>
          <w:rFonts w:ascii="Times New Roman" w:hAnsi="Times New Roman"/>
        </w:rPr>
        <w:t>REN</w:t>
      </w:r>
      <w:r w:rsidR="00A73C1B" w:rsidRPr="00955C5D">
        <w:rPr>
          <w:rFonts w:ascii="Times New Roman" w:hAnsi="Times New Roman"/>
          <w:bCs/>
          <w:szCs w:val="24"/>
        </w:rPr>
        <w:t xml:space="preserve">ATA FOGAÇA DE ALMEIDA </w:t>
      </w:r>
    </w:p>
    <w:p w14:paraId="15249B0B" w14:textId="123D63BB" w:rsidR="00A73C1B" w:rsidRPr="00955C5D" w:rsidRDefault="00EA082C" w:rsidP="00EA082C">
      <w:pPr>
        <w:pStyle w:val="Ttulo4"/>
        <w:ind w:left="0" w:firstLine="3969"/>
        <w:rPr>
          <w:rFonts w:ascii="Times New Roman" w:hAnsi="Times New Roman"/>
          <w:b w:val="0"/>
          <w:bCs/>
          <w:szCs w:val="24"/>
        </w:rPr>
      </w:pPr>
      <w:r w:rsidRPr="00955C5D">
        <w:rPr>
          <w:rFonts w:ascii="Times New Roman" w:hAnsi="Times New Roman"/>
          <w:b w:val="0"/>
          <w:bCs/>
          <w:szCs w:val="24"/>
        </w:rPr>
        <w:t xml:space="preserve">         </w:t>
      </w:r>
      <w:r w:rsidR="00A73C1B" w:rsidRPr="00955C5D">
        <w:rPr>
          <w:rFonts w:ascii="Times New Roman" w:hAnsi="Times New Roman"/>
          <w:b w:val="0"/>
          <w:bCs/>
          <w:szCs w:val="24"/>
        </w:rPr>
        <w:t>Procuradora legislativa</w:t>
      </w:r>
    </w:p>
    <w:p w14:paraId="385CB68F" w14:textId="77777777" w:rsidR="00A73C1B" w:rsidRPr="00955C5D" w:rsidRDefault="00A73C1B" w:rsidP="00A73C1B"/>
    <w:p w14:paraId="57D46351" w14:textId="77777777" w:rsidR="00A73C1B" w:rsidRPr="00955C5D" w:rsidRDefault="00A73C1B" w:rsidP="00A73C1B">
      <w:r w:rsidRPr="00955C5D">
        <w:t>De acordo:</w:t>
      </w:r>
    </w:p>
    <w:p w14:paraId="09F2EC53" w14:textId="77777777" w:rsidR="00A73C1B" w:rsidRPr="00955C5D" w:rsidRDefault="00A73C1B" w:rsidP="00A73C1B"/>
    <w:p w14:paraId="4760F415" w14:textId="77777777" w:rsidR="00A73C1B" w:rsidRPr="00955C5D" w:rsidRDefault="00A73C1B" w:rsidP="00A73C1B"/>
    <w:p w14:paraId="6D80B1DA" w14:textId="77777777" w:rsidR="00A73C1B" w:rsidRPr="00955C5D" w:rsidRDefault="00A73C1B" w:rsidP="00A73C1B">
      <w:r w:rsidRPr="00955C5D">
        <w:t>MARCIA PEGORELLI ANTUNES</w:t>
      </w:r>
    </w:p>
    <w:p w14:paraId="7D33EB6E" w14:textId="77777777" w:rsidR="00A73C1B" w:rsidRPr="00955C5D" w:rsidRDefault="00A73C1B" w:rsidP="00A73C1B">
      <w:pPr>
        <w:rPr>
          <w:bCs/>
          <w:smallCaps/>
        </w:rPr>
      </w:pPr>
      <w:r w:rsidRPr="00955C5D">
        <w:rPr>
          <w:bCs/>
          <w:smallCaps/>
        </w:rPr>
        <w:t>Secretária Jurídica</w:t>
      </w:r>
      <w:bookmarkStart w:id="0" w:name="_GoBack"/>
      <w:bookmarkEnd w:id="0"/>
    </w:p>
    <w:p w14:paraId="48334D09" w14:textId="4364EF32" w:rsidR="00A74563" w:rsidRPr="00955C5D" w:rsidRDefault="00A74563" w:rsidP="00A73C1B">
      <w:pPr>
        <w:pStyle w:val="Recuodecorpodetexto2"/>
        <w:rPr>
          <w:rFonts w:ascii="Times New Roman" w:hAnsi="Times New Roman"/>
        </w:rPr>
      </w:pPr>
    </w:p>
    <w:sectPr w:rsidR="00A74563" w:rsidRPr="00955C5D" w:rsidSect="00592E75">
      <w:headerReference w:type="default" r:id="rId10"/>
      <w:footerReference w:type="default" r:id="rId11"/>
      <w:pgSz w:w="11906" w:h="16838" w:code="9"/>
      <w:pgMar w:top="2977" w:right="1133" w:bottom="1417"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BF1FB" w14:textId="77777777" w:rsidR="0001535F" w:rsidRDefault="0001535F" w:rsidP="003A2034">
      <w:r>
        <w:separator/>
      </w:r>
    </w:p>
  </w:endnote>
  <w:endnote w:type="continuationSeparator" w:id="0">
    <w:p w14:paraId="2C9BF1FC" w14:textId="77777777" w:rsidR="0001535F" w:rsidRDefault="0001535F" w:rsidP="003A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5D85" w14:textId="3F5A36B2" w:rsidR="00595B91" w:rsidRDefault="00595B91">
    <w:pPr>
      <w:pStyle w:val="Rodap"/>
      <w:jc w:val="center"/>
    </w:pPr>
  </w:p>
  <w:p w14:paraId="52E7C53A" w14:textId="77777777" w:rsidR="00595B91" w:rsidRDefault="00595B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BF1F9" w14:textId="77777777" w:rsidR="0001535F" w:rsidRDefault="0001535F" w:rsidP="003A2034">
      <w:r>
        <w:separator/>
      </w:r>
    </w:p>
  </w:footnote>
  <w:footnote w:type="continuationSeparator" w:id="0">
    <w:p w14:paraId="2C9BF1FA" w14:textId="77777777" w:rsidR="0001535F" w:rsidRDefault="0001535F" w:rsidP="003A2034">
      <w:r>
        <w:continuationSeparator/>
      </w:r>
    </w:p>
  </w:footnote>
  <w:footnote w:id="1">
    <w:p w14:paraId="1F2FD61A" w14:textId="77777777" w:rsidR="005C06BD" w:rsidRPr="001D054F" w:rsidRDefault="005C06BD" w:rsidP="005C06BD">
      <w:pPr>
        <w:pStyle w:val="NormalWeb"/>
        <w:shd w:val="clear" w:color="auto" w:fill="FAFAFA"/>
        <w:spacing w:before="0" w:beforeAutospacing="0" w:after="0" w:afterAutospacing="0"/>
        <w:jc w:val="both"/>
        <w:rPr>
          <w:sz w:val="20"/>
          <w:szCs w:val="20"/>
        </w:rPr>
      </w:pPr>
      <w:r w:rsidRPr="001D054F">
        <w:rPr>
          <w:rStyle w:val="Refdenotaderodap"/>
          <w:sz w:val="20"/>
          <w:szCs w:val="20"/>
        </w:rPr>
        <w:footnoteRef/>
      </w:r>
      <w:r w:rsidRPr="001D054F">
        <w:rPr>
          <w:sz w:val="20"/>
          <w:szCs w:val="20"/>
        </w:rPr>
        <w:t xml:space="preserve"> </w:t>
      </w:r>
      <w:r w:rsidRPr="001D054F">
        <w:rPr>
          <w:bCs/>
          <w:color w:val="222222"/>
          <w:sz w:val="20"/>
          <w:szCs w:val="20"/>
        </w:rPr>
        <w:t>Art. 30</w:t>
      </w:r>
      <w:r w:rsidRPr="001D054F">
        <w:rPr>
          <w:b/>
          <w:bCs/>
          <w:color w:val="222222"/>
          <w:sz w:val="20"/>
          <w:szCs w:val="20"/>
        </w:rPr>
        <w:t xml:space="preserve">. </w:t>
      </w:r>
      <w:r w:rsidRPr="001D054F">
        <w:rPr>
          <w:color w:val="222222"/>
          <w:sz w:val="20"/>
          <w:szCs w:val="20"/>
        </w:rPr>
        <w:t xml:space="preserve">Compete aos Municípios: </w:t>
      </w:r>
      <w:r w:rsidRPr="001D054F">
        <w:rPr>
          <w:bCs/>
          <w:color w:val="222222"/>
          <w:sz w:val="20"/>
          <w:szCs w:val="20"/>
        </w:rPr>
        <w:t>I</w:t>
      </w:r>
      <w:r w:rsidRPr="001D054F">
        <w:rPr>
          <w:color w:val="222222"/>
          <w:sz w:val="20"/>
          <w:szCs w:val="20"/>
        </w:rPr>
        <w:t xml:space="preserve">- legislar sobre assuntos de interesse local; </w:t>
      </w:r>
      <w:r w:rsidRPr="001D054F">
        <w:rPr>
          <w:bCs/>
          <w:color w:val="222222"/>
          <w:sz w:val="20"/>
          <w:szCs w:val="20"/>
        </w:rPr>
        <w:t>II</w:t>
      </w:r>
      <w:r w:rsidRPr="001D054F">
        <w:rPr>
          <w:color w:val="222222"/>
          <w:sz w:val="20"/>
          <w:szCs w:val="20"/>
        </w:rPr>
        <w:t>- suplementar a legislação federal e a estadual no que couber;</w:t>
      </w:r>
    </w:p>
  </w:footnote>
  <w:footnote w:id="2">
    <w:p w14:paraId="09357066" w14:textId="77777777" w:rsidR="005C06BD" w:rsidRPr="001D054F" w:rsidRDefault="005C06BD" w:rsidP="005C06BD">
      <w:pPr>
        <w:shd w:val="clear" w:color="auto" w:fill="FFFFFF"/>
        <w:jc w:val="both"/>
        <w:rPr>
          <w:sz w:val="20"/>
          <w:szCs w:val="20"/>
        </w:rPr>
      </w:pPr>
      <w:r w:rsidRPr="001D054F">
        <w:rPr>
          <w:rStyle w:val="Refdenotaderodap"/>
          <w:sz w:val="20"/>
          <w:szCs w:val="20"/>
        </w:rPr>
        <w:footnoteRef/>
      </w:r>
      <w:r w:rsidRPr="001D054F">
        <w:rPr>
          <w:sz w:val="20"/>
          <w:szCs w:val="20"/>
        </w:rPr>
        <w:t xml:space="preserve"> </w:t>
      </w:r>
      <w:r w:rsidRPr="001D054F">
        <w:rPr>
          <w:color w:val="000000"/>
          <w:sz w:val="20"/>
          <w:szCs w:val="20"/>
        </w:rPr>
        <w:t>Art. 4º Compete ao Município: I - legislar sobre assuntos de interesse local; II - suplementar a legislação federal e a estadual no que couber;</w:t>
      </w:r>
    </w:p>
  </w:footnote>
  <w:footnote w:id="3">
    <w:p w14:paraId="6225C16F" w14:textId="77777777" w:rsidR="005C06BD" w:rsidRPr="001D054F" w:rsidRDefault="005C06BD" w:rsidP="005C06BD">
      <w:pPr>
        <w:shd w:val="clear" w:color="auto" w:fill="FFFFFF"/>
        <w:jc w:val="both"/>
        <w:rPr>
          <w:sz w:val="20"/>
          <w:szCs w:val="20"/>
        </w:rPr>
      </w:pPr>
      <w:r w:rsidRPr="001D054F">
        <w:rPr>
          <w:rStyle w:val="Refdenotaderodap"/>
          <w:sz w:val="20"/>
          <w:szCs w:val="20"/>
        </w:rPr>
        <w:footnoteRef/>
      </w:r>
      <w:r w:rsidRPr="001D054F">
        <w:rPr>
          <w:sz w:val="20"/>
          <w:szCs w:val="20"/>
        </w:rPr>
        <w:t xml:space="preserve"> </w:t>
      </w:r>
      <w:r w:rsidRPr="001D054F">
        <w:rPr>
          <w:color w:val="000000"/>
          <w:sz w:val="20"/>
          <w:szCs w:val="20"/>
        </w:rPr>
        <w:t>Art. 33. Cabe à Câmara Municipal, com a sanção do Prefeito, legislar sobre as matérias de competência do Município, especialmente no que se refere ao seguinte: I - assuntos de interesse local, inclusive suplementando a legislação federal e a estadual, notadamente no que diz respeito: (...) e) à proteção ao meio ambiente e ao combate à poluição; f) ao incentivo à indústria e ao comércio e à criação de distritos industriais; (...) n) às políticas públicas do Município; (...)</w:t>
      </w:r>
    </w:p>
  </w:footnote>
  <w:footnote w:id="4">
    <w:p w14:paraId="5D7AAAFF" w14:textId="77777777" w:rsidR="005C06BD" w:rsidRPr="001D054F" w:rsidRDefault="005C06BD" w:rsidP="005C06BD">
      <w:pPr>
        <w:shd w:val="clear" w:color="auto" w:fill="FFFFFF"/>
        <w:jc w:val="both"/>
        <w:rPr>
          <w:sz w:val="20"/>
          <w:szCs w:val="20"/>
        </w:rPr>
      </w:pPr>
      <w:r w:rsidRPr="001D054F">
        <w:rPr>
          <w:rStyle w:val="Refdenotaderodap"/>
          <w:sz w:val="20"/>
          <w:szCs w:val="20"/>
        </w:rPr>
        <w:footnoteRef/>
      </w:r>
      <w:r w:rsidRPr="001D054F">
        <w:rPr>
          <w:sz w:val="20"/>
          <w:szCs w:val="20"/>
        </w:rPr>
        <w:t xml:space="preserve"> Art. 129. A saúde é direito de todos os munícipes e dever do Poder Público, assegurada mediante políticas sociais e econômicas que visem à eliminação do risco de doenças e outros agravos e ao acesso universal e igualitário às ações e serviços para a sua promoção, proteção e recuperação. (...)</w:t>
      </w:r>
    </w:p>
  </w:footnote>
  <w:footnote w:id="5">
    <w:p w14:paraId="45FED326" w14:textId="77777777" w:rsidR="005C06BD" w:rsidRPr="001D054F" w:rsidRDefault="005C06BD" w:rsidP="005C06BD">
      <w:pPr>
        <w:shd w:val="clear" w:color="auto" w:fill="FFFFFF"/>
        <w:jc w:val="both"/>
        <w:rPr>
          <w:sz w:val="20"/>
          <w:szCs w:val="20"/>
        </w:rPr>
      </w:pPr>
      <w:r w:rsidRPr="001D054F">
        <w:rPr>
          <w:rStyle w:val="Refdenotaderodap"/>
          <w:sz w:val="20"/>
          <w:szCs w:val="20"/>
        </w:rPr>
        <w:footnoteRef/>
      </w:r>
      <w:r w:rsidRPr="001D054F">
        <w:rPr>
          <w:sz w:val="20"/>
          <w:szCs w:val="20"/>
        </w:rPr>
        <w:t xml:space="preserve"> Art. 130. Para atingir os objetivos estabelecidos no artigo anterior, o Município promoverá por todos os meios ao seu alcance:(...)</w:t>
      </w:r>
    </w:p>
    <w:p w14:paraId="5BF742D4" w14:textId="77777777" w:rsidR="005C06BD" w:rsidRPr="001D054F" w:rsidRDefault="005C06BD" w:rsidP="005C06BD">
      <w:pPr>
        <w:shd w:val="clear" w:color="auto" w:fill="FFFFFF"/>
        <w:jc w:val="both"/>
        <w:rPr>
          <w:sz w:val="20"/>
          <w:szCs w:val="20"/>
        </w:rPr>
      </w:pPr>
      <w:r w:rsidRPr="001D054F">
        <w:rPr>
          <w:sz w:val="20"/>
          <w:szCs w:val="20"/>
        </w:rPr>
        <w:t xml:space="preserve">II - </w:t>
      </w:r>
      <w:proofErr w:type="gramStart"/>
      <w:r w:rsidRPr="001D054F">
        <w:rPr>
          <w:sz w:val="20"/>
          <w:szCs w:val="20"/>
        </w:rPr>
        <w:t>respeito</w:t>
      </w:r>
      <w:proofErr w:type="gramEnd"/>
      <w:r w:rsidRPr="001D054F">
        <w:rPr>
          <w:sz w:val="20"/>
          <w:szCs w:val="20"/>
        </w:rPr>
        <w:t xml:space="preserve"> ao meio ambiente e controle da poluição ambiental;</w:t>
      </w:r>
    </w:p>
    <w:p w14:paraId="37CB99AE" w14:textId="77777777" w:rsidR="005C06BD" w:rsidRPr="001D054F" w:rsidRDefault="005C06BD" w:rsidP="005C06BD">
      <w:pPr>
        <w:shd w:val="clear" w:color="auto" w:fill="FFFFFF"/>
        <w:jc w:val="both"/>
        <w:rPr>
          <w:sz w:val="20"/>
          <w:szCs w:val="20"/>
        </w:rPr>
      </w:pPr>
      <w:r w:rsidRPr="001D054F">
        <w:rPr>
          <w:sz w:val="20"/>
          <w:szCs w:val="20"/>
        </w:rPr>
        <w:t xml:space="preserve">III- acesso universal e igualitário de todos os habitantes do Município às ações e serviços de promoção, proteção e recuperação da saúde, sem qualquer </w:t>
      </w:r>
      <w:proofErr w:type="gramStart"/>
      <w:r w:rsidRPr="001D054F">
        <w:rPr>
          <w:sz w:val="20"/>
          <w:szCs w:val="20"/>
        </w:rPr>
        <w:t>discriminação.(...)</w:t>
      </w:r>
      <w:proofErr w:type="gramEnd"/>
    </w:p>
  </w:footnote>
  <w:footnote w:id="6">
    <w:p w14:paraId="265E9A14" w14:textId="77777777" w:rsidR="005C06BD" w:rsidRPr="001D054F" w:rsidRDefault="005C06BD" w:rsidP="005C06BD">
      <w:pPr>
        <w:tabs>
          <w:tab w:val="left" w:pos="1418"/>
        </w:tabs>
        <w:jc w:val="both"/>
        <w:rPr>
          <w:sz w:val="20"/>
          <w:szCs w:val="20"/>
        </w:rPr>
      </w:pPr>
      <w:r w:rsidRPr="001D054F">
        <w:rPr>
          <w:rStyle w:val="Refdenotaderodap"/>
          <w:sz w:val="20"/>
          <w:szCs w:val="20"/>
        </w:rPr>
        <w:footnoteRef/>
      </w:r>
      <w:r w:rsidRPr="001D054F">
        <w:rPr>
          <w:sz w:val="20"/>
          <w:szCs w:val="20"/>
        </w:rPr>
        <w:t xml:space="preserve"> Art. 55. A União, os Estados e o Distrito Federal, em caráter concorrente e nas suas respectivas áreas de atuação administrativa, baixarão normas relativas à produção, industrialização, distribuição e consumo de produtos e serviços.</w:t>
      </w:r>
    </w:p>
    <w:p w14:paraId="1649B408" w14:textId="77777777" w:rsidR="005C06BD" w:rsidRPr="001A2D83" w:rsidRDefault="005C06BD" w:rsidP="005C06BD">
      <w:pPr>
        <w:tabs>
          <w:tab w:val="left" w:pos="1418"/>
        </w:tabs>
        <w:jc w:val="both"/>
        <w:rPr>
          <w:sz w:val="20"/>
          <w:szCs w:val="20"/>
        </w:rPr>
      </w:pPr>
      <w:r w:rsidRPr="001A2D83">
        <w:rPr>
          <w:sz w:val="20"/>
          <w:szCs w:val="20"/>
        </w:rPr>
        <w:t xml:space="preserve">§ 1° A União, os Estados, o Distrito Federal e os </w:t>
      </w:r>
      <w:r w:rsidRPr="001A2D83">
        <w:rPr>
          <w:b/>
          <w:sz w:val="20"/>
          <w:szCs w:val="20"/>
        </w:rPr>
        <w:t xml:space="preserve">Municípios </w:t>
      </w:r>
      <w:r w:rsidRPr="001A2D83">
        <w:rPr>
          <w:sz w:val="20"/>
          <w:szCs w:val="20"/>
        </w:rPr>
        <w:t xml:space="preserve">fiscalizarão e controlarão a produção, industrialização, distribuição, a publicidade de produtos e serviços e o mercado de consumo, </w:t>
      </w:r>
      <w:r w:rsidRPr="001A2D83">
        <w:rPr>
          <w:b/>
          <w:sz w:val="20"/>
          <w:szCs w:val="20"/>
        </w:rPr>
        <w:t>no interesse da preservação da vida, da saúde, da segurança, da informação e do bem-estar do consumidor, baixando as normas que se fizerem necessárias</w:t>
      </w:r>
      <w:r w:rsidRPr="001A2D83">
        <w:rPr>
          <w:sz w:val="20"/>
          <w:szCs w:val="20"/>
        </w:rPr>
        <w:t>. (</w:t>
      </w:r>
      <w:proofErr w:type="gramStart"/>
      <w:r w:rsidRPr="001A2D83">
        <w:rPr>
          <w:sz w:val="20"/>
          <w:szCs w:val="20"/>
        </w:rPr>
        <w:t>grifamos</w:t>
      </w:r>
      <w:proofErr w:type="gramEnd"/>
      <w:r w:rsidRPr="001A2D83">
        <w:rPr>
          <w:sz w:val="20"/>
          <w:szCs w:val="20"/>
        </w:rPr>
        <w:t>)</w:t>
      </w:r>
    </w:p>
  </w:footnote>
  <w:footnote w:id="7">
    <w:p w14:paraId="7C497B11" w14:textId="77777777" w:rsidR="001A2D83" w:rsidRPr="001A2D83" w:rsidRDefault="001A2D83" w:rsidP="001A2D83">
      <w:pPr>
        <w:tabs>
          <w:tab w:val="left" w:pos="1418"/>
        </w:tabs>
        <w:jc w:val="both"/>
        <w:rPr>
          <w:sz w:val="20"/>
          <w:szCs w:val="20"/>
        </w:rPr>
      </w:pPr>
      <w:r w:rsidRPr="001A2D83">
        <w:rPr>
          <w:rStyle w:val="Refdenotaderodap"/>
          <w:sz w:val="20"/>
          <w:szCs w:val="20"/>
        </w:rPr>
        <w:footnoteRef/>
      </w:r>
      <w:r w:rsidRPr="001A2D83">
        <w:rPr>
          <w:sz w:val="20"/>
          <w:szCs w:val="20"/>
        </w:rPr>
        <w:t xml:space="preserve"> “(...) “Em matéria de proteção</w:t>
      </w:r>
      <w:r w:rsidRPr="001A2D83">
        <w:rPr>
          <w:b/>
          <w:sz w:val="20"/>
          <w:szCs w:val="20"/>
        </w:rPr>
        <w:t xml:space="preserve"> à saúde e de defesa do meio ambiente, a competência legislativa é concorrente</w:t>
      </w:r>
      <w:r w:rsidRPr="001A2D83">
        <w:rPr>
          <w:sz w:val="20"/>
          <w:szCs w:val="20"/>
        </w:rPr>
        <w:t>, a teor do art. 24, VI e XII, da Constituição</w:t>
      </w:r>
      <w:r w:rsidRPr="001A2D83">
        <w:rPr>
          <w:b/>
          <w:sz w:val="20"/>
          <w:szCs w:val="20"/>
        </w:rPr>
        <w:t xml:space="preserve">. </w:t>
      </w:r>
      <w:r w:rsidRPr="001A2D83">
        <w:rPr>
          <w:sz w:val="20"/>
          <w:szCs w:val="20"/>
        </w:rPr>
        <w:t xml:space="preserve">De outro lado, também, </w:t>
      </w:r>
      <w:r w:rsidRPr="001A2D83">
        <w:rPr>
          <w:b/>
          <w:sz w:val="20"/>
          <w:szCs w:val="20"/>
        </w:rPr>
        <w:t>a defesa da saúde</w:t>
      </w:r>
      <w:r w:rsidRPr="001A2D83">
        <w:rPr>
          <w:sz w:val="20"/>
          <w:szCs w:val="20"/>
        </w:rPr>
        <w:t xml:space="preserve">, conforme estabelece o art. 196 da Carta Magna é competência do Estado genericamente compreendido. Portanto, não é apenas da União, mas também dos Estados-membros, do Distrito Federal </w:t>
      </w:r>
      <w:r w:rsidRPr="001A2D83">
        <w:rPr>
          <w:b/>
          <w:sz w:val="20"/>
          <w:szCs w:val="20"/>
        </w:rPr>
        <w:t xml:space="preserve">e dos </w:t>
      </w:r>
      <w:proofErr w:type="gramStart"/>
      <w:r w:rsidRPr="001A2D83">
        <w:rPr>
          <w:b/>
          <w:sz w:val="20"/>
          <w:szCs w:val="20"/>
        </w:rPr>
        <w:t>Municípios</w:t>
      </w:r>
      <w:r w:rsidRPr="001A2D83">
        <w:rPr>
          <w:sz w:val="20"/>
          <w:szCs w:val="20"/>
        </w:rPr>
        <w:t>.(...)</w:t>
      </w:r>
      <w:proofErr w:type="gramEnd"/>
      <w:r w:rsidRPr="001A2D83">
        <w:rPr>
          <w:sz w:val="20"/>
          <w:szCs w:val="20"/>
        </w:rPr>
        <w:t xml:space="preserve"> (ADPF nº 109, Relator Ministro Ricardo </w:t>
      </w:r>
      <w:proofErr w:type="spellStart"/>
      <w:r w:rsidRPr="001A2D83">
        <w:rPr>
          <w:sz w:val="20"/>
          <w:szCs w:val="20"/>
        </w:rPr>
        <w:t>Lewandowski</w:t>
      </w:r>
      <w:proofErr w:type="spellEnd"/>
      <w:r w:rsidRPr="001A2D83">
        <w:rPr>
          <w:sz w:val="20"/>
          <w:szCs w:val="20"/>
        </w:rPr>
        <w:t>. DJ 22/04/2009) (grifamos)</w:t>
      </w:r>
    </w:p>
  </w:footnote>
  <w:footnote w:id="8">
    <w:p w14:paraId="2A034678" w14:textId="77777777" w:rsidR="001A2D83" w:rsidRPr="001A2D83" w:rsidRDefault="001A2D83" w:rsidP="001A2D83">
      <w:pPr>
        <w:tabs>
          <w:tab w:val="left" w:pos="0"/>
        </w:tabs>
        <w:jc w:val="both"/>
        <w:rPr>
          <w:sz w:val="20"/>
          <w:szCs w:val="20"/>
        </w:rPr>
      </w:pPr>
      <w:r w:rsidRPr="001A2D83">
        <w:rPr>
          <w:rStyle w:val="Refdenotaderodap"/>
          <w:sz w:val="20"/>
          <w:szCs w:val="20"/>
        </w:rPr>
        <w:footnoteRef/>
      </w:r>
      <w:r w:rsidRPr="001A2D83">
        <w:rPr>
          <w:sz w:val="20"/>
          <w:szCs w:val="20"/>
        </w:rPr>
        <w:t xml:space="preserve"> Art. 78 – Considera-se poder de polícia a atividade da Administração Pública que, limitando ou disciplinando direito, interesse ou liberdade, regula a prática de ato ou abstenção de fato, em </w:t>
      </w:r>
      <w:r w:rsidRPr="001A2D83">
        <w:rPr>
          <w:b/>
          <w:sz w:val="20"/>
          <w:szCs w:val="20"/>
        </w:rPr>
        <w:t>razão de interesse público</w:t>
      </w:r>
      <w:r w:rsidRPr="001A2D83">
        <w:rPr>
          <w:sz w:val="20"/>
          <w:szCs w:val="20"/>
        </w:rPr>
        <w:t xml:space="preserve"> concernente à segurança, à higiene, à ordem, aos costumes, à disciplina da produção e do mercado, ao exercício de atividades econômicas dependentes de concessão ou autorização do Poder Público, à tranquilidade pública ou ao respeito à propriedade e aos direitos individuais ou coletivos. (</w:t>
      </w:r>
      <w:proofErr w:type="gramStart"/>
      <w:r w:rsidRPr="001A2D83">
        <w:rPr>
          <w:sz w:val="20"/>
          <w:szCs w:val="20"/>
        </w:rPr>
        <w:t>grifamos</w:t>
      </w:r>
      <w:proofErr w:type="gramEnd"/>
      <w:r w:rsidRPr="001A2D83">
        <w:rPr>
          <w:sz w:val="20"/>
          <w:szCs w:val="20"/>
        </w:rPr>
        <w:t>)</w:t>
      </w:r>
    </w:p>
  </w:footnote>
  <w:footnote w:id="9">
    <w:p w14:paraId="6157B5BA" w14:textId="77777777" w:rsidR="00B85401" w:rsidRPr="00156EDD" w:rsidRDefault="00B85401" w:rsidP="00B85401">
      <w:pPr>
        <w:tabs>
          <w:tab w:val="left" w:pos="1418"/>
        </w:tabs>
        <w:jc w:val="both"/>
        <w:rPr>
          <w:sz w:val="20"/>
          <w:szCs w:val="20"/>
        </w:rPr>
      </w:pPr>
      <w:r w:rsidRPr="00156EDD">
        <w:rPr>
          <w:rStyle w:val="Refdenotaderodap"/>
          <w:sz w:val="20"/>
          <w:szCs w:val="20"/>
        </w:rPr>
        <w:footnoteRef/>
      </w:r>
      <w:r w:rsidRPr="00156EDD">
        <w:rPr>
          <w:sz w:val="20"/>
          <w:szCs w:val="20"/>
        </w:rPr>
        <w:t xml:space="preserve"> Casos Registrados de Intoxicação Humana por Agente Tóxico e Circunstância. Brasil, 2009.</w:t>
      </w:r>
    </w:p>
    <w:p w14:paraId="7CE39395" w14:textId="77777777" w:rsidR="00B85401" w:rsidRPr="00156EDD" w:rsidRDefault="00B85401" w:rsidP="00B85401">
      <w:pPr>
        <w:tabs>
          <w:tab w:val="left" w:pos="1418"/>
        </w:tabs>
        <w:jc w:val="both"/>
        <w:rPr>
          <w:sz w:val="20"/>
          <w:szCs w:val="20"/>
        </w:rPr>
      </w:pPr>
      <w:r w:rsidRPr="00156EDD">
        <w:rPr>
          <w:sz w:val="20"/>
          <w:szCs w:val="20"/>
        </w:rPr>
        <w:t xml:space="preserve">Disponível em </w:t>
      </w:r>
      <w:hyperlink r:id="rId1" w:history="1">
        <w:r w:rsidRPr="00156EDD">
          <w:rPr>
            <w:sz w:val="20"/>
            <w:szCs w:val="20"/>
          </w:rPr>
          <w:t>http://www.fiocruz.br/sinitox_novo/media/Tabela%206%20-%202009.pdf</w:t>
        </w:r>
      </w:hyperlink>
      <w:r w:rsidRPr="00156EDD">
        <w:rPr>
          <w:sz w:val="20"/>
          <w:szCs w:val="20"/>
        </w:rPr>
        <w:t xml:space="preserve">. Acessado em 09/05/2012 e Óbitos Registrados de Intoxicação Humana por Agente Tóxico e Circunstância. Brasil, 2009. Disponível em </w:t>
      </w:r>
      <w:hyperlink r:id="rId2" w:history="1">
        <w:r w:rsidRPr="00156EDD">
          <w:rPr>
            <w:sz w:val="20"/>
            <w:szCs w:val="20"/>
          </w:rPr>
          <w:t>http://www.fiocruz.br/sinitox_novo/media/Tabela%2011%20-%202009.pdf</w:t>
        </w:r>
      </w:hyperlink>
      <w:r w:rsidRPr="00156EDD">
        <w:rPr>
          <w:sz w:val="20"/>
          <w:szCs w:val="20"/>
        </w:rPr>
        <w:t>. Acessado em 09/05/2012.</w:t>
      </w:r>
    </w:p>
  </w:footnote>
  <w:footnote w:id="10">
    <w:p w14:paraId="41A1B45D" w14:textId="77777777" w:rsidR="00B85401" w:rsidRPr="00156EDD" w:rsidRDefault="00B85401" w:rsidP="00B85401">
      <w:pPr>
        <w:pStyle w:val="Textodenotaderodap"/>
        <w:jc w:val="both"/>
      </w:pPr>
      <w:r w:rsidRPr="00156EDD">
        <w:rPr>
          <w:rStyle w:val="Refdenotaderodap"/>
        </w:rPr>
        <w:footnoteRef/>
      </w:r>
      <w:r w:rsidRPr="00156EDD">
        <w:t xml:space="preserve"> WHO (World Health </w:t>
      </w:r>
      <w:proofErr w:type="spellStart"/>
      <w:r w:rsidRPr="00156EDD">
        <w:t>Organization</w:t>
      </w:r>
      <w:proofErr w:type="spellEnd"/>
      <w:r w:rsidRPr="00156EDD">
        <w:t xml:space="preserve">). “The </w:t>
      </w:r>
      <w:proofErr w:type="spellStart"/>
      <w:r w:rsidRPr="00156EDD">
        <w:t>rational</w:t>
      </w:r>
      <w:proofErr w:type="spellEnd"/>
      <w:r w:rsidRPr="00156EDD">
        <w:t xml:space="preserve"> use </w:t>
      </w:r>
      <w:proofErr w:type="spellStart"/>
      <w:r w:rsidRPr="00156EDD">
        <w:t>of</w:t>
      </w:r>
      <w:proofErr w:type="spellEnd"/>
      <w:r w:rsidRPr="00156EDD">
        <w:t xml:space="preserve"> </w:t>
      </w:r>
      <w:proofErr w:type="spellStart"/>
      <w:r w:rsidRPr="00156EDD">
        <w:t>drugs</w:t>
      </w:r>
      <w:proofErr w:type="spellEnd"/>
      <w:r w:rsidRPr="00156EDD">
        <w:t>” (</w:t>
      </w:r>
      <w:proofErr w:type="spellStart"/>
      <w:r w:rsidRPr="00156EDD">
        <w:t>Report</w:t>
      </w:r>
      <w:proofErr w:type="spellEnd"/>
      <w:r w:rsidRPr="00156EDD">
        <w:t xml:space="preserve"> </w:t>
      </w:r>
      <w:proofErr w:type="spellStart"/>
      <w:r w:rsidRPr="00156EDD">
        <w:t>of</w:t>
      </w:r>
      <w:proofErr w:type="spellEnd"/>
      <w:r w:rsidRPr="00156EDD">
        <w:t xml:space="preserve"> a </w:t>
      </w:r>
      <w:proofErr w:type="spellStart"/>
      <w:r w:rsidRPr="00156EDD">
        <w:t>conference</w:t>
      </w:r>
      <w:proofErr w:type="spellEnd"/>
      <w:r w:rsidRPr="00156EDD">
        <w:t xml:space="preserve"> </w:t>
      </w:r>
      <w:proofErr w:type="spellStart"/>
      <w:r w:rsidRPr="00156EDD">
        <w:t>of</w:t>
      </w:r>
      <w:proofErr w:type="spellEnd"/>
      <w:r w:rsidRPr="00156EDD">
        <w:t xml:space="preserve"> experts). </w:t>
      </w:r>
      <w:proofErr w:type="spellStart"/>
      <w:r w:rsidRPr="00156EDD">
        <w:t>Nairobi</w:t>
      </w:r>
      <w:proofErr w:type="spellEnd"/>
      <w:r w:rsidRPr="00156EDD">
        <w:t xml:space="preserve"> 25-29 </w:t>
      </w:r>
      <w:proofErr w:type="spellStart"/>
      <w:r w:rsidRPr="00156EDD">
        <w:t>November</w:t>
      </w:r>
      <w:proofErr w:type="spellEnd"/>
      <w:r w:rsidRPr="00156EDD">
        <w:t xml:space="preserve"> 1985. </w:t>
      </w:r>
      <w:proofErr w:type="spellStart"/>
      <w:r w:rsidRPr="00156EDD">
        <w:t>Geneve</w:t>
      </w:r>
      <w:proofErr w:type="spellEnd"/>
      <w:r w:rsidRPr="00156EDD">
        <w:t>, 1987</w:t>
      </w:r>
    </w:p>
  </w:footnote>
  <w:footnote w:id="11">
    <w:p w14:paraId="739129BA" w14:textId="77777777" w:rsidR="00B85401" w:rsidRPr="00156EDD" w:rsidRDefault="00B85401" w:rsidP="00B85401">
      <w:pPr>
        <w:tabs>
          <w:tab w:val="left" w:pos="1418"/>
        </w:tabs>
        <w:jc w:val="both"/>
        <w:rPr>
          <w:sz w:val="20"/>
          <w:szCs w:val="20"/>
        </w:rPr>
      </w:pPr>
      <w:r w:rsidRPr="00156EDD">
        <w:rPr>
          <w:rStyle w:val="Refdenotaderodap"/>
          <w:sz w:val="20"/>
          <w:szCs w:val="20"/>
        </w:rPr>
        <w:footnoteRef/>
      </w:r>
      <w:r w:rsidRPr="00156EDD">
        <w:rPr>
          <w:sz w:val="20"/>
          <w:szCs w:val="20"/>
        </w:rPr>
        <w:t xml:space="preserve"> Acessado em 09/05 2012. Disponível em:</w:t>
      </w:r>
    </w:p>
    <w:p w14:paraId="22FAAB86" w14:textId="77777777" w:rsidR="00B85401" w:rsidRPr="00156EDD" w:rsidRDefault="00B85401" w:rsidP="00B85401">
      <w:pPr>
        <w:tabs>
          <w:tab w:val="left" w:pos="1418"/>
        </w:tabs>
        <w:jc w:val="both"/>
        <w:rPr>
          <w:sz w:val="20"/>
          <w:szCs w:val="20"/>
        </w:rPr>
      </w:pPr>
      <w:hyperlink r:id="rId3" w:history="1">
        <w:r w:rsidRPr="00156EDD">
          <w:rPr>
            <w:sz w:val="20"/>
            <w:szCs w:val="20"/>
          </w:rPr>
          <w:t>http://portal.saude.gov.br/portal/saude/visualizar_texto.cfm?idtxt=25641...</w:t>
        </w:r>
      </w:hyperlink>
      <w:r w:rsidRPr="00156EDD">
        <w:rPr>
          <w:sz w:val="20"/>
          <w:szCs w:val="20"/>
        </w:rPr>
        <w:t>.</w:t>
      </w:r>
    </w:p>
  </w:footnote>
  <w:footnote w:id="12">
    <w:p w14:paraId="0592FD57" w14:textId="77777777" w:rsidR="00B85401" w:rsidRPr="00156EDD" w:rsidRDefault="00B85401" w:rsidP="00B85401">
      <w:pPr>
        <w:pStyle w:val="NormalWeb"/>
        <w:shd w:val="clear" w:color="auto" w:fill="FFFFFF"/>
        <w:spacing w:before="0" w:beforeAutospacing="0" w:after="0" w:afterAutospacing="0"/>
        <w:jc w:val="both"/>
        <w:rPr>
          <w:sz w:val="20"/>
          <w:szCs w:val="20"/>
        </w:rPr>
      </w:pPr>
      <w:r w:rsidRPr="00156EDD">
        <w:rPr>
          <w:rStyle w:val="Refdenotaderodap"/>
          <w:sz w:val="20"/>
          <w:szCs w:val="20"/>
        </w:rPr>
        <w:footnoteRef/>
      </w:r>
      <w:r w:rsidRPr="00156EDD">
        <w:rPr>
          <w:sz w:val="20"/>
          <w:szCs w:val="20"/>
        </w:rPr>
        <w:t xml:space="preserve"> </w:t>
      </w:r>
      <w:r w:rsidRPr="00156EDD">
        <w:rPr>
          <w:rFonts w:eastAsiaTheme="minorHAnsi"/>
          <w:sz w:val="20"/>
          <w:szCs w:val="20"/>
          <w:lang w:eastAsia="en-US"/>
        </w:rPr>
        <w:t xml:space="preserve">CDC Art. 4º - A Política Nacional de Relações de Consumo tem por objetivo o atendimento das necessidades dos consumidores, a respeito </w:t>
      </w:r>
      <w:proofErr w:type="spellStart"/>
      <w:r w:rsidRPr="00156EDD">
        <w:rPr>
          <w:rFonts w:eastAsiaTheme="minorHAnsi"/>
          <w:sz w:val="20"/>
          <w:szCs w:val="20"/>
          <w:lang w:eastAsia="en-US"/>
        </w:rPr>
        <w:t>a</w:t>
      </w:r>
      <w:proofErr w:type="spellEnd"/>
      <w:r w:rsidRPr="00156EDD">
        <w:rPr>
          <w:rFonts w:eastAsiaTheme="minorHAnsi"/>
          <w:sz w:val="20"/>
          <w:szCs w:val="20"/>
          <w:lang w:eastAsia="en-US"/>
        </w:rPr>
        <w:t xml:space="preserve"> sua dignidade, saúde e segurança, a proteção de sua qualidade de vida, bem como a transferência e harmonia das relações de consumo, atendidos os seguintes princípios: (...) III - harmonização dos interesses dos participantes das relações de consumo e compatibilização da proteção do consumidor com a necessidade de desenvolvimento econômico e tecnológico, de modo a viabilizar os princípios nos quais se funda a ordem econômica (art. </w:t>
      </w:r>
      <w:hyperlink r:id="rId4" w:tooltip="Artigo 170 da Constituição Federal de 1988" w:history="1">
        <w:r w:rsidRPr="00156EDD">
          <w:rPr>
            <w:rFonts w:eastAsiaTheme="minorHAnsi"/>
            <w:sz w:val="20"/>
            <w:szCs w:val="20"/>
            <w:lang w:eastAsia="en-US"/>
          </w:rPr>
          <w:t>170</w:t>
        </w:r>
      </w:hyperlink>
      <w:r w:rsidRPr="00156EDD">
        <w:rPr>
          <w:sz w:val="20"/>
          <w:szCs w:val="20"/>
        </w:rPr>
        <w:t xml:space="preserve"> </w:t>
      </w:r>
      <w:r w:rsidRPr="00156EDD">
        <w:rPr>
          <w:rFonts w:eastAsiaTheme="minorHAnsi"/>
          <w:sz w:val="20"/>
          <w:szCs w:val="20"/>
          <w:lang w:eastAsia="en-US"/>
        </w:rPr>
        <w:t xml:space="preserve">da </w:t>
      </w:r>
      <w:hyperlink r:id="rId5" w:tooltip="CONSTITUIÇÃO DA REPÚBLICA FEDERATIVA DO BRASIL DE 1988" w:history="1">
        <w:r w:rsidRPr="00156EDD">
          <w:rPr>
            <w:rFonts w:eastAsiaTheme="minorHAnsi"/>
            <w:sz w:val="20"/>
            <w:szCs w:val="20"/>
            <w:lang w:eastAsia="en-US"/>
          </w:rPr>
          <w:t>Constituição Federal</w:t>
        </w:r>
      </w:hyperlink>
      <w:r w:rsidRPr="00156EDD">
        <w:rPr>
          <w:rFonts w:eastAsiaTheme="minorHAnsi"/>
          <w:sz w:val="20"/>
          <w:szCs w:val="20"/>
          <w:lang w:eastAsia="en-US"/>
        </w:rPr>
        <w:t>), sempre com base na boa-fé e equilíbrio nas relações entre consumidores e fornecedores.</w:t>
      </w:r>
    </w:p>
  </w:footnote>
  <w:footnote w:id="13">
    <w:p w14:paraId="730D94EB" w14:textId="77777777" w:rsidR="00B85401" w:rsidRPr="004A6F0B" w:rsidRDefault="00B85401" w:rsidP="00B85401">
      <w:pPr>
        <w:tabs>
          <w:tab w:val="left" w:pos="1418"/>
        </w:tabs>
        <w:jc w:val="both"/>
        <w:rPr>
          <w:sz w:val="20"/>
          <w:szCs w:val="20"/>
        </w:rPr>
      </w:pPr>
      <w:r w:rsidRPr="00156EDD">
        <w:rPr>
          <w:rStyle w:val="Refdenotaderodap"/>
          <w:sz w:val="20"/>
          <w:szCs w:val="20"/>
        </w:rPr>
        <w:footnoteRef/>
      </w:r>
      <w:r w:rsidRPr="00156EDD">
        <w:rPr>
          <w:sz w:val="20"/>
          <w:szCs w:val="20"/>
        </w:rPr>
        <w:t xml:space="preserve"> Lei 8080/90 Art. 7º As ações e serviços públicos de saúde e os serviços privados contratados ou conveniados que integram o Sistema Único de Saúde (SUS), são desenvolvidos de acordo com as diretrizes previstas no art. 198 da Constituição Federal, obedecendo ainda aos seguintes </w:t>
      </w:r>
      <w:proofErr w:type="spellStart"/>
      <w:r w:rsidRPr="00156EDD">
        <w:rPr>
          <w:sz w:val="20"/>
          <w:szCs w:val="20"/>
        </w:rPr>
        <w:t>princípios:I</w:t>
      </w:r>
      <w:proofErr w:type="spellEnd"/>
      <w:r w:rsidRPr="00156EDD">
        <w:rPr>
          <w:sz w:val="20"/>
          <w:szCs w:val="20"/>
        </w:rPr>
        <w:t xml:space="preserve"> - </w:t>
      </w:r>
      <w:r w:rsidRPr="00156EDD">
        <w:rPr>
          <w:b/>
          <w:sz w:val="20"/>
          <w:szCs w:val="20"/>
        </w:rPr>
        <w:t>universalidade de acesso aos serviços de saúde em todos os níveis de assistência</w:t>
      </w:r>
      <w:r w:rsidRPr="00156EDD">
        <w:rPr>
          <w:sz w:val="20"/>
          <w:szCs w:val="20"/>
        </w:rPr>
        <w:t xml:space="preserve">; II - </w:t>
      </w:r>
      <w:r w:rsidRPr="00156EDD">
        <w:rPr>
          <w:b/>
          <w:sz w:val="20"/>
          <w:szCs w:val="20"/>
        </w:rPr>
        <w:t>integralidade de assistência</w:t>
      </w:r>
      <w:r w:rsidRPr="00156EDD">
        <w:rPr>
          <w:sz w:val="20"/>
          <w:szCs w:val="20"/>
        </w:rPr>
        <w:t xml:space="preserve">, entendida como conjunto articulado e contínuo das ações e serviços preventivos e curativos, individuais e coletivos, exigidos para cada caso em todos os níveis de complexidade do sistema; III - preservação da autonomia das pessoas na defesa de sua integridade física e moral; IV - </w:t>
      </w:r>
      <w:r w:rsidRPr="00156EDD">
        <w:rPr>
          <w:b/>
          <w:sz w:val="20"/>
          <w:szCs w:val="20"/>
        </w:rPr>
        <w:t>igualdade da assistência à saúde</w:t>
      </w:r>
      <w:r w:rsidRPr="00156EDD">
        <w:rPr>
          <w:sz w:val="20"/>
          <w:szCs w:val="20"/>
        </w:rPr>
        <w:t xml:space="preserve">, sem preconceitos ou privilégios de qualquer espécie; V - direito à informação, às pessoas assistidas, sobre sua saúde; VI - divulgação de informações quanto ao potencial dos serviços de saúde e a sua utilização pelo usuário; (...) IX - </w:t>
      </w:r>
      <w:r w:rsidRPr="00156EDD">
        <w:rPr>
          <w:b/>
          <w:sz w:val="20"/>
          <w:szCs w:val="20"/>
        </w:rPr>
        <w:t xml:space="preserve">descentralização político-administrativa, com direção </w:t>
      </w:r>
      <w:r w:rsidRPr="004A6F0B">
        <w:rPr>
          <w:b/>
          <w:sz w:val="20"/>
          <w:szCs w:val="20"/>
        </w:rPr>
        <w:t>única em cada esfera de governo</w:t>
      </w:r>
      <w:r w:rsidRPr="004A6F0B">
        <w:rPr>
          <w:sz w:val="20"/>
          <w:szCs w:val="20"/>
        </w:rPr>
        <w:t xml:space="preserve">: a) ênfase na </w:t>
      </w:r>
      <w:r w:rsidRPr="004A6F0B">
        <w:rPr>
          <w:b/>
          <w:sz w:val="20"/>
          <w:szCs w:val="20"/>
        </w:rPr>
        <w:t>descentralização dos serviços para os municípios</w:t>
      </w:r>
      <w:r w:rsidRPr="004A6F0B">
        <w:rPr>
          <w:sz w:val="20"/>
          <w:szCs w:val="20"/>
        </w:rPr>
        <w:t xml:space="preserve">; b) regionalização e hierarquização da rede de serviços de saúde; X - integração em nível executivo das ações de saúde, meio ambiente e saneamento básico; XI - conjugação dos recursos financeiros, tecnológicos, materiais e humanos da União, dos Estados, do Distrito Federal e dos </w:t>
      </w:r>
      <w:r w:rsidRPr="004A6F0B">
        <w:rPr>
          <w:b/>
          <w:sz w:val="20"/>
          <w:szCs w:val="20"/>
        </w:rPr>
        <w:t>Municípios na prestação de serviços de assistência à saúde</w:t>
      </w:r>
      <w:r w:rsidRPr="004A6F0B">
        <w:rPr>
          <w:sz w:val="20"/>
          <w:szCs w:val="20"/>
        </w:rPr>
        <w:t xml:space="preserve"> da população; XII - capacidade de resolução dos serviços em todos os níveis de assistência; (...)</w:t>
      </w:r>
    </w:p>
  </w:footnote>
  <w:footnote w:id="14">
    <w:p w14:paraId="6B1702EA" w14:textId="77777777" w:rsidR="00B85401" w:rsidRPr="004A6F0B" w:rsidRDefault="00B85401" w:rsidP="00B85401">
      <w:pPr>
        <w:tabs>
          <w:tab w:val="left" w:pos="1418"/>
        </w:tabs>
        <w:jc w:val="both"/>
        <w:rPr>
          <w:sz w:val="20"/>
          <w:szCs w:val="20"/>
        </w:rPr>
      </w:pPr>
      <w:r w:rsidRPr="004A6F0B">
        <w:rPr>
          <w:rStyle w:val="Refdenotaderodap"/>
          <w:sz w:val="20"/>
          <w:szCs w:val="20"/>
        </w:rPr>
        <w:footnoteRef/>
      </w:r>
      <w:r w:rsidRPr="004A6F0B">
        <w:rPr>
          <w:sz w:val="20"/>
          <w:szCs w:val="20"/>
        </w:rPr>
        <w:t xml:space="preserve"> Art. 6º Estão incluídas ainda no campo de atuação do Sistema Único de Saúde (SUS):</w:t>
      </w:r>
    </w:p>
    <w:p w14:paraId="6CD7BB79" w14:textId="77777777" w:rsidR="00B85401" w:rsidRPr="004A6F0B" w:rsidRDefault="00B85401" w:rsidP="00B85401">
      <w:pPr>
        <w:tabs>
          <w:tab w:val="left" w:pos="1418"/>
        </w:tabs>
        <w:jc w:val="both"/>
        <w:rPr>
          <w:sz w:val="20"/>
          <w:szCs w:val="20"/>
        </w:rPr>
      </w:pPr>
      <w:r w:rsidRPr="004A6F0B">
        <w:rPr>
          <w:sz w:val="20"/>
          <w:szCs w:val="20"/>
        </w:rPr>
        <w:t xml:space="preserve">I - </w:t>
      </w:r>
      <w:proofErr w:type="gramStart"/>
      <w:r w:rsidRPr="004A6F0B">
        <w:rPr>
          <w:sz w:val="20"/>
          <w:szCs w:val="20"/>
        </w:rPr>
        <w:t>a</w:t>
      </w:r>
      <w:proofErr w:type="gramEnd"/>
      <w:r w:rsidRPr="004A6F0B">
        <w:rPr>
          <w:sz w:val="20"/>
          <w:szCs w:val="20"/>
        </w:rPr>
        <w:t xml:space="preserve"> execução de ações: (...) d) de assistência terapêutica integral, inclusive farmacêutica;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BF1FD" w14:textId="68EF4D4B" w:rsidR="003A2034" w:rsidRDefault="005F7013">
    <w:pPr>
      <w:pStyle w:val="Cabealho"/>
    </w:pPr>
    <w:r>
      <w:rPr>
        <w:noProof/>
        <w:lang w:eastAsia="pt-BR"/>
      </w:rPr>
      <w:drawing>
        <wp:anchor distT="0" distB="0" distL="114300" distR="114300" simplePos="0" relativeHeight="251657728" behindDoc="1" locked="0" layoutInCell="1" allowOverlap="1" wp14:anchorId="650DF478" wp14:editId="3C858294">
          <wp:simplePos x="0" y="0"/>
          <wp:positionH relativeFrom="margin">
            <wp:posOffset>-407035</wp:posOffset>
          </wp:positionH>
          <wp:positionV relativeFrom="paragraph">
            <wp:posOffset>125730</wp:posOffset>
          </wp:positionV>
          <wp:extent cx="6214110" cy="962660"/>
          <wp:effectExtent l="0" t="0" r="0" b="8890"/>
          <wp:wrapNone/>
          <wp:docPr id="6" name="Imagem 6" descr="Cabeçalho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çalho A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110" cy="962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08DE"/>
    <w:multiLevelType w:val="hybridMultilevel"/>
    <w:tmpl w:val="329614F2"/>
    <w:lvl w:ilvl="0" w:tplc="49D86BC8">
      <w:start w:val="1"/>
      <w:numFmt w:val="lowerLetter"/>
      <w:lvlText w:val="%1)"/>
      <w:lvlJc w:val="left"/>
      <w:pPr>
        <w:tabs>
          <w:tab w:val="num" w:pos="2748"/>
        </w:tabs>
        <w:ind w:left="2748" w:hanging="480"/>
      </w:pPr>
      <w:rPr>
        <w:rFonts w:hint="default"/>
        <w:i/>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34"/>
    <w:rsid w:val="0001535F"/>
    <w:rsid w:val="000327F7"/>
    <w:rsid w:val="000414F8"/>
    <w:rsid w:val="00051C9F"/>
    <w:rsid w:val="0005497F"/>
    <w:rsid w:val="00060612"/>
    <w:rsid w:val="000625E2"/>
    <w:rsid w:val="00067204"/>
    <w:rsid w:val="0008264D"/>
    <w:rsid w:val="00085937"/>
    <w:rsid w:val="0008609C"/>
    <w:rsid w:val="000F3558"/>
    <w:rsid w:val="000F74E2"/>
    <w:rsid w:val="001049C3"/>
    <w:rsid w:val="00123FB8"/>
    <w:rsid w:val="00126F85"/>
    <w:rsid w:val="0013679A"/>
    <w:rsid w:val="00142AAA"/>
    <w:rsid w:val="001450F4"/>
    <w:rsid w:val="00156EDD"/>
    <w:rsid w:val="00177E96"/>
    <w:rsid w:val="001A0B85"/>
    <w:rsid w:val="001A2D83"/>
    <w:rsid w:val="001B34B1"/>
    <w:rsid w:val="001D054F"/>
    <w:rsid w:val="001D4664"/>
    <w:rsid w:val="001E53E1"/>
    <w:rsid w:val="001F315B"/>
    <w:rsid w:val="001F334E"/>
    <w:rsid w:val="001F40AF"/>
    <w:rsid w:val="00204D5C"/>
    <w:rsid w:val="00233386"/>
    <w:rsid w:val="00236833"/>
    <w:rsid w:val="00237C49"/>
    <w:rsid w:val="0027670C"/>
    <w:rsid w:val="00285B05"/>
    <w:rsid w:val="00291393"/>
    <w:rsid w:val="002A13B1"/>
    <w:rsid w:val="002B2C85"/>
    <w:rsid w:val="002D23BF"/>
    <w:rsid w:val="002E13E0"/>
    <w:rsid w:val="002F23A2"/>
    <w:rsid w:val="00310718"/>
    <w:rsid w:val="003147B0"/>
    <w:rsid w:val="003300AE"/>
    <w:rsid w:val="00343B1B"/>
    <w:rsid w:val="00355141"/>
    <w:rsid w:val="003619C0"/>
    <w:rsid w:val="00366DDB"/>
    <w:rsid w:val="00367494"/>
    <w:rsid w:val="003811B2"/>
    <w:rsid w:val="003A2034"/>
    <w:rsid w:val="003B0754"/>
    <w:rsid w:val="003C1B37"/>
    <w:rsid w:val="003E4CD8"/>
    <w:rsid w:val="003F0123"/>
    <w:rsid w:val="00426B02"/>
    <w:rsid w:val="004549D1"/>
    <w:rsid w:val="00477B02"/>
    <w:rsid w:val="004A667A"/>
    <w:rsid w:val="004A6F0B"/>
    <w:rsid w:val="004C49E6"/>
    <w:rsid w:val="004F5E7D"/>
    <w:rsid w:val="004F603A"/>
    <w:rsid w:val="00506A82"/>
    <w:rsid w:val="00531615"/>
    <w:rsid w:val="00533129"/>
    <w:rsid w:val="005711CA"/>
    <w:rsid w:val="00574E23"/>
    <w:rsid w:val="00591E73"/>
    <w:rsid w:val="00592E75"/>
    <w:rsid w:val="00595B91"/>
    <w:rsid w:val="005C06BD"/>
    <w:rsid w:val="005C26DA"/>
    <w:rsid w:val="005D5A05"/>
    <w:rsid w:val="005F7013"/>
    <w:rsid w:val="0061436C"/>
    <w:rsid w:val="00630DD1"/>
    <w:rsid w:val="00634A95"/>
    <w:rsid w:val="00666C49"/>
    <w:rsid w:val="00674D9B"/>
    <w:rsid w:val="006B25AB"/>
    <w:rsid w:val="006B6D71"/>
    <w:rsid w:val="006C612E"/>
    <w:rsid w:val="00712F9E"/>
    <w:rsid w:val="00735153"/>
    <w:rsid w:val="007522C2"/>
    <w:rsid w:val="00754AA8"/>
    <w:rsid w:val="0078496A"/>
    <w:rsid w:val="00786D38"/>
    <w:rsid w:val="007A4CFB"/>
    <w:rsid w:val="007B2012"/>
    <w:rsid w:val="007F606B"/>
    <w:rsid w:val="00815414"/>
    <w:rsid w:val="00823FA8"/>
    <w:rsid w:val="0082460C"/>
    <w:rsid w:val="00827BDE"/>
    <w:rsid w:val="00831210"/>
    <w:rsid w:val="00842BD0"/>
    <w:rsid w:val="00872E3E"/>
    <w:rsid w:val="008968AE"/>
    <w:rsid w:val="008B2641"/>
    <w:rsid w:val="008C4AD4"/>
    <w:rsid w:val="008E16F8"/>
    <w:rsid w:val="008F1F99"/>
    <w:rsid w:val="00927985"/>
    <w:rsid w:val="00955C5D"/>
    <w:rsid w:val="00981C6B"/>
    <w:rsid w:val="00992F37"/>
    <w:rsid w:val="009A383E"/>
    <w:rsid w:val="009B748E"/>
    <w:rsid w:val="009C4A5A"/>
    <w:rsid w:val="009E3D45"/>
    <w:rsid w:val="00A0764F"/>
    <w:rsid w:val="00A5543F"/>
    <w:rsid w:val="00A618FE"/>
    <w:rsid w:val="00A65713"/>
    <w:rsid w:val="00A727DC"/>
    <w:rsid w:val="00A73C1B"/>
    <w:rsid w:val="00A74563"/>
    <w:rsid w:val="00AB0A4D"/>
    <w:rsid w:val="00AC56E4"/>
    <w:rsid w:val="00AD3D2C"/>
    <w:rsid w:val="00B41BE2"/>
    <w:rsid w:val="00B46627"/>
    <w:rsid w:val="00B85401"/>
    <w:rsid w:val="00B87BBC"/>
    <w:rsid w:val="00BD36E0"/>
    <w:rsid w:val="00C17026"/>
    <w:rsid w:val="00C2225D"/>
    <w:rsid w:val="00C31E80"/>
    <w:rsid w:val="00C42135"/>
    <w:rsid w:val="00CD7894"/>
    <w:rsid w:val="00CF329C"/>
    <w:rsid w:val="00D16538"/>
    <w:rsid w:val="00D31C4F"/>
    <w:rsid w:val="00D33FEC"/>
    <w:rsid w:val="00D51EC2"/>
    <w:rsid w:val="00D609DA"/>
    <w:rsid w:val="00D6561A"/>
    <w:rsid w:val="00D815EE"/>
    <w:rsid w:val="00DA5B48"/>
    <w:rsid w:val="00DB2ACA"/>
    <w:rsid w:val="00DC0DC2"/>
    <w:rsid w:val="00DC54DF"/>
    <w:rsid w:val="00DD0F50"/>
    <w:rsid w:val="00DD1A1B"/>
    <w:rsid w:val="00E061BB"/>
    <w:rsid w:val="00E225DC"/>
    <w:rsid w:val="00E245C8"/>
    <w:rsid w:val="00E92AB3"/>
    <w:rsid w:val="00EA082C"/>
    <w:rsid w:val="00ED2DF3"/>
    <w:rsid w:val="00ED4B30"/>
    <w:rsid w:val="00EE7317"/>
    <w:rsid w:val="00EE766C"/>
    <w:rsid w:val="00F01E4F"/>
    <w:rsid w:val="00F400DB"/>
    <w:rsid w:val="00F6184D"/>
    <w:rsid w:val="00F80D23"/>
    <w:rsid w:val="00F9427D"/>
    <w:rsid w:val="00FB00B6"/>
    <w:rsid w:val="00FB7516"/>
    <w:rsid w:val="00FE6165"/>
    <w:rsid w:val="00FE6713"/>
    <w:rsid w:val="00FF3B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9BF1F8"/>
  <w15:chartTrackingRefBased/>
  <w15:docId w15:val="{88C49B32-AD22-4CD9-AC87-668E4082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56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F7013"/>
    <w:pPr>
      <w:keepNext/>
      <w:jc w:val="both"/>
      <w:outlineLvl w:val="0"/>
    </w:pPr>
    <w:rPr>
      <w:b/>
      <w:szCs w:val="20"/>
    </w:rPr>
  </w:style>
  <w:style w:type="paragraph" w:styleId="Ttulo3">
    <w:name w:val="heading 3"/>
    <w:basedOn w:val="Normal"/>
    <w:next w:val="Normal"/>
    <w:link w:val="Ttulo3Char"/>
    <w:qFormat/>
    <w:rsid w:val="005F7013"/>
    <w:pPr>
      <w:keepNext/>
      <w:ind w:firstLine="3402"/>
      <w:jc w:val="both"/>
      <w:outlineLvl w:val="2"/>
    </w:pPr>
    <w:rPr>
      <w:rFonts w:ascii="Bookman Old Style" w:hAnsi="Bookman Old Style"/>
      <w:b/>
      <w:smallCaps/>
      <w:szCs w:val="20"/>
    </w:rPr>
  </w:style>
  <w:style w:type="paragraph" w:styleId="Ttulo4">
    <w:name w:val="heading 4"/>
    <w:basedOn w:val="Normal"/>
    <w:next w:val="Normal"/>
    <w:link w:val="Ttulo4Char"/>
    <w:qFormat/>
    <w:rsid w:val="005F7013"/>
    <w:pPr>
      <w:keepNext/>
      <w:ind w:left="846" w:firstLine="3402"/>
      <w:jc w:val="both"/>
      <w:outlineLvl w:val="3"/>
    </w:pPr>
    <w:rPr>
      <w:rFonts w:ascii="Bookman Old Style" w:hAnsi="Bookman Old Style"/>
      <w:b/>
      <w:smallCap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203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A2034"/>
  </w:style>
  <w:style w:type="paragraph" w:styleId="Rodap">
    <w:name w:val="footer"/>
    <w:basedOn w:val="Normal"/>
    <w:link w:val="RodapChar"/>
    <w:uiPriority w:val="99"/>
    <w:unhideWhenUsed/>
    <w:rsid w:val="003A203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A2034"/>
  </w:style>
  <w:style w:type="paragraph" w:styleId="Textodebalo">
    <w:name w:val="Balloon Text"/>
    <w:basedOn w:val="Normal"/>
    <w:link w:val="TextodebaloChar"/>
    <w:uiPriority w:val="99"/>
    <w:semiHidden/>
    <w:unhideWhenUsed/>
    <w:rsid w:val="002A13B1"/>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2A13B1"/>
    <w:rPr>
      <w:rFonts w:ascii="Segoe UI" w:hAnsi="Segoe UI" w:cs="Segoe UI"/>
      <w:sz w:val="18"/>
      <w:szCs w:val="18"/>
    </w:rPr>
  </w:style>
  <w:style w:type="paragraph" w:styleId="NormalWeb">
    <w:name w:val="Normal (Web)"/>
    <w:basedOn w:val="Normal"/>
    <w:uiPriority w:val="99"/>
    <w:rsid w:val="00A74563"/>
    <w:pPr>
      <w:spacing w:before="100" w:beforeAutospacing="1" w:after="100" w:afterAutospacing="1"/>
    </w:pPr>
    <w:rPr>
      <w:rFonts w:eastAsia="Calibri"/>
    </w:rPr>
  </w:style>
  <w:style w:type="paragraph" w:styleId="Textodenotaderodap">
    <w:name w:val="footnote text"/>
    <w:basedOn w:val="Normal"/>
    <w:link w:val="TextodenotaderodapChar"/>
    <w:uiPriority w:val="99"/>
    <w:semiHidden/>
    <w:rsid w:val="00A74563"/>
    <w:rPr>
      <w:sz w:val="20"/>
      <w:szCs w:val="20"/>
    </w:rPr>
  </w:style>
  <w:style w:type="character" w:customStyle="1" w:styleId="TextodenotaderodapChar">
    <w:name w:val="Texto de nota de rodapé Char"/>
    <w:basedOn w:val="Fontepargpadro"/>
    <w:link w:val="Textodenotaderodap"/>
    <w:uiPriority w:val="99"/>
    <w:semiHidden/>
    <w:rsid w:val="00A74563"/>
    <w:rPr>
      <w:rFonts w:ascii="Times New Roman" w:eastAsia="Times New Roman" w:hAnsi="Times New Roman" w:cs="Times New Roman"/>
      <w:sz w:val="20"/>
      <w:szCs w:val="20"/>
      <w:lang w:eastAsia="pt-BR"/>
    </w:rPr>
  </w:style>
  <w:style w:type="character" w:styleId="Refdenotaderodap">
    <w:name w:val="footnote reference"/>
    <w:uiPriority w:val="99"/>
    <w:semiHidden/>
    <w:rsid w:val="00A74563"/>
    <w:rPr>
      <w:vertAlign w:val="superscript"/>
    </w:rPr>
  </w:style>
  <w:style w:type="character" w:styleId="Hyperlink">
    <w:name w:val="Hyperlink"/>
    <w:rsid w:val="00595B91"/>
    <w:rPr>
      <w:color w:val="0000FF"/>
      <w:u w:val="single"/>
    </w:rPr>
  </w:style>
  <w:style w:type="paragraph" w:customStyle="1" w:styleId="ementa1">
    <w:name w:val="ementa1"/>
    <w:basedOn w:val="Normal"/>
    <w:rsid w:val="00595B91"/>
    <w:pPr>
      <w:spacing w:before="100" w:beforeAutospacing="1" w:after="100" w:afterAutospacing="1"/>
      <w:ind w:left="6120"/>
    </w:pPr>
  </w:style>
  <w:style w:type="character" w:customStyle="1" w:styleId="Ttulo1Char">
    <w:name w:val="Título 1 Char"/>
    <w:basedOn w:val="Fontepargpadro"/>
    <w:link w:val="Ttulo1"/>
    <w:rsid w:val="005F701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F7013"/>
    <w:rPr>
      <w:rFonts w:ascii="Bookman Old Style" w:eastAsia="Times New Roman" w:hAnsi="Bookman Old Style" w:cs="Times New Roman"/>
      <w:b/>
      <w:smallCaps/>
      <w:sz w:val="24"/>
      <w:szCs w:val="20"/>
      <w:lang w:eastAsia="pt-BR"/>
    </w:rPr>
  </w:style>
  <w:style w:type="character" w:customStyle="1" w:styleId="Ttulo4Char">
    <w:name w:val="Título 4 Char"/>
    <w:basedOn w:val="Fontepargpadro"/>
    <w:link w:val="Ttulo4"/>
    <w:rsid w:val="005F7013"/>
    <w:rPr>
      <w:rFonts w:ascii="Bookman Old Style" w:eastAsia="Times New Roman" w:hAnsi="Bookman Old Style" w:cs="Times New Roman"/>
      <w:b/>
      <w:smallCaps/>
      <w:sz w:val="24"/>
      <w:szCs w:val="20"/>
      <w:lang w:eastAsia="pt-BR"/>
    </w:rPr>
  </w:style>
  <w:style w:type="paragraph" w:styleId="Recuodecorpodetexto">
    <w:name w:val="Body Text Indent"/>
    <w:basedOn w:val="Normal"/>
    <w:link w:val="RecuodecorpodetextoChar"/>
    <w:rsid w:val="005F7013"/>
    <w:pPr>
      <w:spacing w:line="360" w:lineRule="auto"/>
      <w:ind w:firstLine="3402"/>
      <w:jc w:val="both"/>
    </w:pPr>
    <w:rPr>
      <w:rFonts w:ascii="Bookman Old Style" w:hAnsi="Bookman Old Style"/>
      <w:szCs w:val="20"/>
    </w:rPr>
  </w:style>
  <w:style w:type="character" w:customStyle="1" w:styleId="RecuodecorpodetextoChar">
    <w:name w:val="Recuo de corpo de texto Char"/>
    <w:basedOn w:val="Fontepargpadro"/>
    <w:link w:val="Recuodecorpodetexto"/>
    <w:rsid w:val="005F7013"/>
    <w:rPr>
      <w:rFonts w:ascii="Bookman Old Style" w:eastAsia="Times New Roman" w:hAnsi="Bookman Old Style" w:cs="Times New Roman"/>
      <w:sz w:val="24"/>
      <w:szCs w:val="20"/>
      <w:lang w:eastAsia="pt-BR"/>
    </w:rPr>
  </w:style>
  <w:style w:type="paragraph" w:styleId="Recuodecorpodetexto2">
    <w:name w:val="Body Text Indent 2"/>
    <w:basedOn w:val="Normal"/>
    <w:link w:val="Recuodecorpodetexto2Char"/>
    <w:rsid w:val="005F7013"/>
    <w:pPr>
      <w:spacing w:line="360" w:lineRule="auto"/>
      <w:ind w:firstLine="3969"/>
      <w:jc w:val="both"/>
    </w:pPr>
    <w:rPr>
      <w:rFonts w:ascii="Bookman Old Style" w:hAnsi="Bookman Old Style"/>
      <w:szCs w:val="20"/>
    </w:rPr>
  </w:style>
  <w:style w:type="character" w:customStyle="1" w:styleId="Recuodecorpodetexto2Char">
    <w:name w:val="Recuo de corpo de texto 2 Char"/>
    <w:basedOn w:val="Fontepargpadro"/>
    <w:link w:val="Recuodecorpodetexto2"/>
    <w:rsid w:val="005F7013"/>
    <w:rPr>
      <w:rFonts w:ascii="Bookman Old Style" w:eastAsia="Times New Roman" w:hAnsi="Bookman Old Style" w:cs="Times New Roman"/>
      <w:sz w:val="24"/>
      <w:szCs w:val="20"/>
      <w:lang w:eastAsia="pt-BR"/>
    </w:rPr>
  </w:style>
  <w:style w:type="character" w:styleId="Forte">
    <w:name w:val="Strong"/>
    <w:uiPriority w:val="22"/>
    <w:qFormat/>
    <w:rsid w:val="00591E73"/>
    <w:rPr>
      <w:b/>
      <w:bCs/>
    </w:rPr>
  </w:style>
  <w:style w:type="paragraph" w:customStyle="1" w:styleId="Standard">
    <w:name w:val="Standard"/>
    <w:rsid w:val="007F606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styleId="SemEspaamento">
    <w:name w:val="No Spacing"/>
    <w:uiPriority w:val="1"/>
    <w:qFormat/>
    <w:rsid w:val="00831210"/>
    <w:pPr>
      <w:spacing w:after="0" w:line="240" w:lineRule="auto"/>
    </w:pPr>
    <w:rPr>
      <w:rFonts w:ascii="Times New Roman" w:eastAsia="Times New Roman" w:hAnsi="Times New Roman" w:cs="Times New Roman"/>
      <w:sz w:val="24"/>
      <w:szCs w:val="24"/>
      <w:lang w:eastAsia="pt-BR"/>
    </w:rPr>
  </w:style>
  <w:style w:type="paragraph" w:customStyle="1" w:styleId="LO-Normal">
    <w:name w:val="LO-Normal"/>
    <w:rsid w:val="00831210"/>
    <w:pPr>
      <w:suppressAutoHyphens/>
      <w:spacing w:after="0" w:line="240" w:lineRule="auto"/>
    </w:pPr>
    <w:rPr>
      <w:rFonts w:ascii="Liberation Serif" w:eastAsia="SimSun" w:hAnsi="Liberation Serif" w:cs="Mangal"/>
      <w:kern w:val="1"/>
      <w:sz w:val="24"/>
      <w:szCs w:val="24"/>
      <w:lang w:eastAsia="zh-CN" w:bidi="hi-IN"/>
    </w:rPr>
  </w:style>
  <w:style w:type="character" w:customStyle="1" w:styleId="Fontepargpadro1">
    <w:name w:val="Fonte parág. padrão1"/>
    <w:rsid w:val="00506A82"/>
  </w:style>
  <w:style w:type="paragraph" w:customStyle="1" w:styleId="artigo">
    <w:name w:val="artigo"/>
    <w:basedOn w:val="Normal"/>
    <w:rsid w:val="008F1F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336">
      <w:bodyDiv w:val="1"/>
      <w:marLeft w:val="0"/>
      <w:marRight w:val="0"/>
      <w:marTop w:val="0"/>
      <w:marBottom w:val="0"/>
      <w:divBdr>
        <w:top w:val="none" w:sz="0" w:space="0" w:color="auto"/>
        <w:left w:val="none" w:sz="0" w:space="0" w:color="auto"/>
        <w:bottom w:val="none" w:sz="0" w:space="0" w:color="auto"/>
        <w:right w:val="none" w:sz="0" w:space="0" w:color="auto"/>
      </w:divBdr>
    </w:div>
    <w:div w:id="1001661597">
      <w:bodyDiv w:val="1"/>
      <w:marLeft w:val="0"/>
      <w:marRight w:val="0"/>
      <w:marTop w:val="0"/>
      <w:marBottom w:val="0"/>
      <w:divBdr>
        <w:top w:val="none" w:sz="0" w:space="0" w:color="auto"/>
        <w:left w:val="none" w:sz="0" w:space="0" w:color="auto"/>
        <w:bottom w:val="none" w:sz="0" w:space="0" w:color="auto"/>
        <w:right w:val="none" w:sz="0" w:space="0" w:color="auto"/>
      </w:divBdr>
    </w:div>
    <w:div w:id="1072118029">
      <w:bodyDiv w:val="1"/>
      <w:marLeft w:val="0"/>
      <w:marRight w:val="0"/>
      <w:marTop w:val="0"/>
      <w:marBottom w:val="0"/>
      <w:divBdr>
        <w:top w:val="none" w:sz="0" w:space="0" w:color="auto"/>
        <w:left w:val="none" w:sz="0" w:space="0" w:color="auto"/>
        <w:bottom w:val="none" w:sz="0" w:space="0" w:color="auto"/>
        <w:right w:val="none" w:sz="0" w:space="0" w:color="auto"/>
      </w:divBdr>
    </w:div>
    <w:div w:id="1427339140">
      <w:bodyDiv w:val="1"/>
      <w:marLeft w:val="0"/>
      <w:marRight w:val="0"/>
      <w:marTop w:val="0"/>
      <w:marBottom w:val="0"/>
      <w:divBdr>
        <w:top w:val="none" w:sz="0" w:space="0" w:color="auto"/>
        <w:left w:val="none" w:sz="0" w:space="0" w:color="auto"/>
        <w:bottom w:val="none" w:sz="0" w:space="0" w:color="auto"/>
        <w:right w:val="none" w:sz="0" w:space="0" w:color="auto"/>
      </w:divBdr>
    </w:div>
    <w:div w:id="1517497172">
      <w:bodyDiv w:val="1"/>
      <w:marLeft w:val="0"/>
      <w:marRight w:val="0"/>
      <w:marTop w:val="0"/>
      <w:marBottom w:val="0"/>
      <w:divBdr>
        <w:top w:val="none" w:sz="0" w:space="0" w:color="auto"/>
        <w:left w:val="none" w:sz="0" w:space="0" w:color="auto"/>
        <w:bottom w:val="none" w:sz="0" w:space="0" w:color="auto"/>
        <w:right w:val="none" w:sz="0" w:space="0" w:color="auto"/>
      </w:divBdr>
    </w:div>
    <w:div w:id="196307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topicos/10607666/artigo-6-da-lei-n-8078-de-11-de-setembro-de-19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sbrasil.com.br/legislacao/91585/c%C3%B3digo-de-defesa-do-consumidor-lei-8078-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ortal.saude.gov.br/portal/saude/visualizar_texto.cfm?idtxt=25641&amp;janela=2" TargetMode="External"/><Relationship Id="rId2" Type="http://schemas.openxmlformats.org/officeDocument/2006/relationships/hyperlink" Target="http://www.fiocruz.br/sinitox_novo/media/Tabela%2011%20-%202009.pdf" TargetMode="External"/><Relationship Id="rId1" Type="http://schemas.openxmlformats.org/officeDocument/2006/relationships/hyperlink" Target="http://www.fiocruz.br/sinitox_novo/media/Tabela%206%20-%202009.pdf" TargetMode="External"/><Relationship Id="rId5" Type="http://schemas.openxmlformats.org/officeDocument/2006/relationships/hyperlink" Target="http://www.jusbrasil.com.br/legislacao/155571402/constitui%C3%A7%C3%A3o-federal-constitui%C3%A7%C3%A3o-da-republica-federativa-do-brasil-1988" TargetMode="External"/><Relationship Id="rId4" Type="http://schemas.openxmlformats.org/officeDocument/2006/relationships/hyperlink" Target="http://www.jusbrasil.com.br/topicos/10660995/artigo-170-da-constitui%C3%A7%C3%A3o-federal-de-19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97E8-7F86-4E4E-8041-AD4270D4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1535</Words>
  <Characters>8292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dc:creator>
  <cp:keywords/>
  <dc:description/>
  <cp:lastModifiedBy>usuariocamara</cp:lastModifiedBy>
  <cp:revision>14</cp:revision>
  <cp:lastPrinted>2017-12-05T18:22:00Z</cp:lastPrinted>
  <dcterms:created xsi:type="dcterms:W3CDTF">2018-06-14T15:18:00Z</dcterms:created>
  <dcterms:modified xsi:type="dcterms:W3CDTF">2018-06-14T15:49:00Z</dcterms:modified>
</cp:coreProperties>
</file>