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C9625D">
        <w:rPr>
          <w:rFonts w:ascii="Book Antiqua" w:hAnsi="Book Antiqua"/>
          <w:b/>
          <w:szCs w:val="24"/>
        </w:rPr>
        <w:t xml:space="preserve">LEI </w:t>
      </w:r>
      <w:r w:rsidRPr="00683742">
        <w:rPr>
          <w:rFonts w:ascii="Book Antiqua" w:hAnsi="Book Antiqua"/>
          <w:b/>
          <w:szCs w:val="24"/>
        </w:rPr>
        <w:t xml:space="preserve"> Nº</w:t>
      </w:r>
      <w:r w:rsidR="00616F03">
        <w:rPr>
          <w:rFonts w:ascii="Book Antiqua" w:hAnsi="Book Antiqua"/>
          <w:b/>
          <w:szCs w:val="24"/>
        </w:rPr>
        <w:t xml:space="preserve"> 119</w:t>
      </w:r>
      <w:r>
        <w:rPr>
          <w:rFonts w:ascii="Book Antiqua" w:hAnsi="Book Antiqua"/>
          <w:b/>
          <w:szCs w:val="24"/>
        </w:rPr>
        <w:t>/2017</w:t>
      </w: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ind w:left="3402"/>
        <w:jc w:val="both"/>
        <w:rPr>
          <w:rFonts w:ascii="Book Antiqua" w:hAnsi="Book Antiqua"/>
          <w:szCs w:val="24"/>
        </w:rPr>
      </w:pPr>
      <w:bookmarkStart w:id="0" w:name="_GoBack"/>
      <w:r w:rsidRPr="00683742">
        <w:rPr>
          <w:rFonts w:ascii="Book Antiqua" w:hAnsi="Book Antiqua"/>
          <w:b/>
          <w:szCs w:val="24"/>
        </w:rPr>
        <w:t xml:space="preserve">Institui </w:t>
      </w:r>
      <w:r w:rsidR="00A4648E">
        <w:rPr>
          <w:rFonts w:ascii="Book Antiqua" w:hAnsi="Book Antiqua"/>
          <w:b/>
          <w:szCs w:val="24"/>
        </w:rPr>
        <w:t>o</w:t>
      </w:r>
      <w:r w:rsidRPr="00683742">
        <w:rPr>
          <w:rFonts w:ascii="Book Antiqua" w:hAnsi="Book Antiqua"/>
          <w:b/>
          <w:szCs w:val="24"/>
        </w:rPr>
        <w:t xml:space="preserve"> “</w:t>
      </w:r>
      <w:r w:rsidR="00A4648E">
        <w:rPr>
          <w:rFonts w:ascii="Book Antiqua" w:hAnsi="Book Antiqua"/>
          <w:b/>
          <w:szCs w:val="24"/>
        </w:rPr>
        <w:t>DIA MUNICIPAL DOS COLETORES</w:t>
      </w:r>
      <w:r w:rsidRPr="00683742">
        <w:rPr>
          <w:rFonts w:ascii="Book Antiqua" w:hAnsi="Book Antiqua"/>
          <w:b/>
          <w:szCs w:val="24"/>
        </w:rPr>
        <w:t xml:space="preserve">”, </w:t>
      </w:r>
      <w:r w:rsidR="00C9625D">
        <w:rPr>
          <w:rFonts w:ascii="Book Antiqua" w:hAnsi="Book Antiqua"/>
          <w:b/>
          <w:szCs w:val="24"/>
        </w:rPr>
        <w:t xml:space="preserve">a ser </w:t>
      </w:r>
      <w:r w:rsidRPr="00683742">
        <w:rPr>
          <w:rFonts w:ascii="Book Antiqua" w:hAnsi="Book Antiqua"/>
          <w:b/>
          <w:szCs w:val="24"/>
        </w:rPr>
        <w:t xml:space="preserve">celebrado anualmente dia </w:t>
      </w:r>
      <w:r w:rsidR="00A4648E">
        <w:rPr>
          <w:rFonts w:ascii="Book Antiqua" w:hAnsi="Book Antiqua"/>
          <w:b/>
          <w:szCs w:val="24"/>
        </w:rPr>
        <w:t>21</w:t>
      </w:r>
      <w:r w:rsidR="0028666F">
        <w:rPr>
          <w:rFonts w:ascii="Book Antiqua" w:hAnsi="Book Antiqua"/>
          <w:b/>
          <w:szCs w:val="24"/>
        </w:rPr>
        <w:t xml:space="preserve"> </w:t>
      </w:r>
      <w:r w:rsidRPr="00683742">
        <w:rPr>
          <w:rFonts w:ascii="Book Antiqua" w:hAnsi="Book Antiqua"/>
          <w:b/>
          <w:szCs w:val="24"/>
        </w:rPr>
        <w:t xml:space="preserve">de </w:t>
      </w:r>
      <w:r w:rsidR="00A4648E">
        <w:rPr>
          <w:rFonts w:ascii="Book Antiqua" w:hAnsi="Book Antiqua"/>
          <w:b/>
          <w:szCs w:val="24"/>
        </w:rPr>
        <w:t>Outubro</w:t>
      </w:r>
      <w:r w:rsidRPr="00683742">
        <w:rPr>
          <w:rFonts w:ascii="Book Antiqua" w:hAnsi="Book Antiqua"/>
          <w:b/>
          <w:szCs w:val="24"/>
        </w:rPr>
        <w:t xml:space="preserve"> com homenagens </w:t>
      </w:r>
      <w:r>
        <w:rPr>
          <w:rFonts w:ascii="Book Antiqua" w:hAnsi="Book Antiqua"/>
          <w:b/>
          <w:szCs w:val="24"/>
        </w:rPr>
        <w:t>realizadas</w:t>
      </w:r>
      <w:r w:rsidRPr="00683742">
        <w:rPr>
          <w:rFonts w:ascii="Book Antiqua" w:hAnsi="Book Antiqua"/>
          <w:b/>
          <w:szCs w:val="24"/>
        </w:rPr>
        <w:t xml:space="preserve"> de por esta Casa de Leis.</w:t>
      </w:r>
    </w:p>
    <w:bookmarkEnd w:id="0"/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1B0028" w:rsidRPr="00683742" w:rsidRDefault="001B0028" w:rsidP="001B0028">
      <w:pPr>
        <w:spacing w:before="120"/>
        <w:ind w:firstLine="1560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 Câmara Municipal de Sorocaba decreta:</w:t>
      </w:r>
    </w:p>
    <w:p w:rsidR="001B0028" w:rsidRPr="00683742" w:rsidRDefault="001B0028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1B0028" w:rsidRPr="00683742" w:rsidRDefault="001B0028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 xml:space="preserve">Art. 1º Fica instituído no Município de Sorocaba o “Dia </w:t>
      </w:r>
      <w:r>
        <w:rPr>
          <w:rFonts w:ascii="Book Antiqua" w:hAnsi="Book Antiqua"/>
        </w:rPr>
        <w:t xml:space="preserve">Municipal </w:t>
      </w:r>
      <w:r w:rsidR="00D6070E">
        <w:rPr>
          <w:rFonts w:ascii="Book Antiqua" w:hAnsi="Book Antiqua"/>
        </w:rPr>
        <w:t>d</w:t>
      </w:r>
      <w:r w:rsidR="0028666F">
        <w:rPr>
          <w:rFonts w:ascii="Book Antiqua" w:hAnsi="Book Antiqua"/>
        </w:rPr>
        <w:t xml:space="preserve">os </w:t>
      </w:r>
      <w:r w:rsidR="00A4648E">
        <w:rPr>
          <w:rFonts w:ascii="Book Antiqua" w:hAnsi="Book Antiqua"/>
        </w:rPr>
        <w:t>Coletores</w:t>
      </w:r>
      <w:r w:rsidRPr="00683742">
        <w:rPr>
          <w:rFonts w:ascii="Book Antiqua" w:hAnsi="Book Antiqua"/>
        </w:rPr>
        <w:t xml:space="preserve">” que será celebrado anualmente todo dia </w:t>
      </w:r>
      <w:r w:rsidR="00A4648E">
        <w:rPr>
          <w:rFonts w:ascii="Book Antiqua" w:hAnsi="Book Antiqua"/>
        </w:rPr>
        <w:t>21</w:t>
      </w:r>
      <w:r>
        <w:rPr>
          <w:rFonts w:ascii="Book Antiqua" w:hAnsi="Book Antiqua"/>
        </w:rPr>
        <w:t xml:space="preserve"> </w:t>
      </w:r>
      <w:r w:rsidRPr="00683742">
        <w:rPr>
          <w:rFonts w:ascii="Book Antiqua" w:hAnsi="Book Antiqua"/>
        </w:rPr>
        <w:t xml:space="preserve">de </w:t>
      </w:r>
      <w:r w:rsidR="00A4648E">
        <w:rPr>
          <w:rFonts w:ascii="Book Antiqua" w:hAnsi="Book Antiqua"/>
        </w:rPr>
        <w:t>Outubro</w:t>
      </w:r>
      <w:r w:rsidRPr="00683742">
        <w:rPr>
          <w:rFonts w:ascii="Book Antiqua" w:hAnsi="Book Antiqua"/>
        </w:rPr>
        <w:t>.</w:t>
      </w:r>
    </w:p>
    <w:p w:rsidR="00C9625D" w:rsidRDefault="001B0028" w:rsidP="00D15D8A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 xml:space="preserve">Art. 2º </w:t>
      </w:r>
      <w:r w:rsidR="00D15D8A" w:rsidRPr="00D15D8A">
        <w:rPr>
          <w:rFonts w:ascii="Book Antiqua" w:hAnsi="Book Antiqua"/>
        </w:rPr>
        <w:t xml:space="preserve">Durante </w:t>
      </w:r>
      <w:r w:rsidR="0028666F">
        <w:rPr>
          <w:rFonts w:ascii="Book Antiqua" w:hAnsi="Book Antiqua"/>
        </w:rPr>
        <w:t>a semana</w:t>
      </w:r>
      <w:r w:rsidR="00D15D8A">
        <w:rPr>
          <w:rFonts w:ascii="Book Antiqua" w:hAnsi="Book Antiqua"/>
        </w:rPr>
        <w:t xml:space="preserve"> instituíd</w:t>
      </w:r>
      <w:r w:rsidR="0028666F">
        <w:rPr>
          <w:rFonts w:ascii="Book Antiqua" w:hAnsi="Book Antiqua"/>
        </w:rPr>
        <w:t>a</w:t>
      </w:r>
      <w:r w:rsidR="00D15D8A" w:rsidRPr="00D15D8A">
        <w:rPr>
          <w:rFonts w:ascii="Book Antiqua" w:hAnsi="Book Antiqua"/>
        </w:rPr>
        <w:t>, o Poder Executivo envidará esforços no sentido de promover palestras, eventos, ações</w:t>
      </w:r>
      <w:r w:rsidR="00D15D8A">
        <w:rPr>
          <w:rFonts w:ascii="Book Antiqua" w:hAnsi="Book Antiqua"/>
        </w:rPr>
        <w:t>,</w:t>
      </w:r>
      <w:r w:rsidR="00D15D8A" w:rsidRPr="00D15D8A">
        <w:rPr>
          <w:rFonts w:ascii="Book Antiqua" w:hAnsi="Book Antiqua"/>
        </w:rPr>
        <w:t xml:space="preserve"> campanhas educativas</w:t>
      </w:r>
      <w:r w:rsidR="00D15D8A">
        <w:rPr>
          <w:rFonts w:ascii="Book Antiqua" w:hAnsi="Book Antiqua"/>
        </w:rPr>
        <w:t xml:space="preserve">, </w:t>
      </w:r>
      <w:r w:rsidR="0028666F">
        <w:rPr>
          <w:rFonts w:ascii="Book Antiqua" w:hAnsi="Book Antiqua"/>
        </w:rPr>
        <w:t xml:space="preserve">homenagens, </w:t>
      </w:r>
      <w:r w:rsidR="00D15D8A">
        <w:rPr>
          <w:rFonts w:ascii="Book Antiqua" w:hAnsi="Book Antiqua"/>
        </w:rPr>
        <w:t xml:space="preserve">bem como, divulgação de forma ampla </w:t>
      </w:r>
      <w:r w:rsidR="00D106C5">
        <w:rPr>
          <w:rFonts w:ascii="Book Antiqua" w:hAnsi="Book Antiqua"/>
        </w:rPr>
        <w:t xml:space="preserve">de material relacionados ao tema  </w:t>
      </w:r>
      <w:r w:rsidR="00D15D8A">
        <w:rPr>
          <w:rFonts w:ascii="Book Antiqua" w:hAnsi="Book Antiqua"/>
        </w:rPr>
        <w:t xml:space="preserve">através dos mais variados meios de comunicação e mídia </w:t>
      </w:r>
      <w:r w:rsidR="00D106C5">
        <w:rPr>
          <w:rFonts w:ascii="Book Antiqua" w:hAnsi="Book Antiqua"/>
        </w:rPr>
        <w:t>local</w:t>
      </w:r>
      <w:r w:rsidR="00D15D8A">
        <w:rPr>
          <w:rFonts w:ascii="Book Antiqua" w:hAnsi="Book Antiqua"/>
        </w:rPr>
        <w:t>.</w:t>
      </w:r>
    </w:p>
    <w:p w:rsidR="001B0028" w:rsidRPr="00683742" w:rsidRDefault="009F2351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="00C9625D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º </w:t>
      </w:r>
      <w:r w:rsidR="001B0028" w:rsidRPr="00683742">
        <w:rPr>
          <w:rFonts w:ascii="Book Antiqua" w:hAnsi="Book Antiqua"/>
        </w:rPr>
        <w:t>As despesas decorrentes da aprovação deste Decreto Legislativo correrão à conta de verba orçamentária própria.</w:t>
      </w:r>
    </w:p>
    <w:p w:rsidR="001B0028" w:rsidRDefault="009F2351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="00C9625D">
        <w:rPr>
          <w:rFonts w:ascii="Book Antiqua" w:hAnsi="Book Antiqua"/>
        </w:rPr>
        <w:t>4</w:t>
      </w:r>
      <w:r w:rsidR="001B0028" w:rsidRPr="00683742">
        <w:rPr>
          <w:rFonts w:ascii="Book Antiqua" w:hAnsi="Book Antiqua"/>
        </w:rPr>
        <w:t>º Est</w:t>
      </w:r>
      <w:r w:rsidR="00D15D8A">
        <w:rPr>
          <w:rFonts w:ascii="Book Antiqua" w:hAnsi="Book Antiqua"/>
        </w:rPr>
        <w:t xml:space="preserve">a Lei </w:t>
      </w:r>
      <w:r w:rsidR="001B0028" w:rsidRPr="00683742">
        <w:rPr>
          <w:rFonts w:ascii="Book Antiqua" w:hAnsi="Book Antiqua"/>
        </w:rPr>
        <w:t>entra em vigor na data de sua publicação.</w:t>
      </w:r>
    </w:p>
    <w:p w:rsidR="001B0028" w:rsidRDefault="001B0028" w:rsidP="001B0028">
      <w:pPr>
        <w:ind w:firstLine="2268"/>
        <w:jc w:val="both"/>
        <w:rPr>
          <w:szCs w:val="24"/>
        </w:rPr>
      </w:pPr>
    </w:p>
    <w:p w:rsidR="0028666F" w:rsidRPr="00FD1ED9" w:rsidRDefault="0028666F" w:rsidP="001B0028">
      <w:pPr>
        <w:ind w:firstLine="2268"/>
        <w:jc w:val="both"/>
        <w:rPr>
          <w:szCs w:val="24"/>
        </w:rPr>
      </w:pPr>
    </w:p>
    <w:p w:rsidR="001B0028" w:rsidRPr="00FD1ED9" w:rsidRDefault="001B0028" w:rsidP="001B0028">
      <w:pPr>
        <w:jc w:val="center"/>
        <w:rPr>
          <w:b/>
          <w:szCs w:val="24"/>
        </w:rPr>
      </w:pPr>
      <w:r w:rsidRPr="00FD1ED9">
        <w:rPr>
          <w:b/>
          <w:szCs w:val="24"/>
        </w:rPr>
        <w:t xml:space="preserve">S/S., </w:t>
      </w:r>
      <w:r w:rsidR="00A4648E">
        <w:rPr>
          <w:b/>
          <w:szCs w:val="24"/>
        </w:rPr>
        <w:t>25</w:t>
      </w:r>
      <w:r w:rsidRPr="00FD1ED9">
        <w:rPr>
          <w:b/>
          <w:szCs w:val="24"/>
        </w:rPr>
        <w:t xml:space="preserve"> de </w:t>
      </w:r>
      <w:r w:rsidR="00A4648E">
        <w:rPr>
          <w:b/>
          <w:szCs w:val="24"/>
        </w:rPr>
        <w:t>Abril</w:t>
      </w:r>
      <w:r w:rsidRPr="00FD1ED9">
        <w:rPr>
          <w:b/>
          <w:szCs w:val="24"/>
        </w:rPr>
        <w:t xml:space="preserve"> de</w:t>
      </w:r>
      <w:r>
        <w:rPr>
          <w:b/>
          <w:szCs w:val="24"/>
        </w:rPr>
        <w:t xml:space="preserve"> 2017.</w:t>
      </w:r>
    </w:p>
    <w:p w:rsidR="001B0028" w:rsidRDefault="001B0028" w:rsidP="001B0028">
      <w:pPr>
        <w:jc w:val="center"/>
        <w:rPr>
          <w:b/>
          <w:szCs w:val="24"/>
        </w:rPr>
      </w:pPr>
    </w:p>
    <w:p w:rsidR="0028666F" w:rsidRDefault="0028666F" w:rsidP="001B0028">
      <w:pPr>
        <w:jc w:val="center"/>
        <w:rPr>
          <w:b/>
          <w:szCs w:val="24"/>
        </w:rPr>
      </w:pPr>
    </w:p>
    <w:p w:rsidR="001B0028" w:rsidRDefault="001B0028" w:rsidP="001B0028">
      <w:pPr>
        <w:jc w:val="center"/>
        <w:rPr>
          <w:b/>
          <w:szCs w:val="24"/>
        </w:rPr>
      </w:pPr>
    </w:p>
    <w:p w:rsidR="0028666F" w:rsidRPr="00FD1ED9" w:rsidRDefault="0028666F" w:rsidP="001B0028">
      <w:pPr>
        <w:jc w:val="center"/>
        <w:rPr>
          <w:b/>
          <w:szCs w:val="24"/>
        </w:rPr>
      </w:pPr>
    </w:p>
    <w:p w:rsidR="001B0028" w:rsidRPr="0020457A" w:rsidRDefault="001B0028" w:rsidP="001B002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Rodrigo </w:t>
      </w:r>
      <w:r w:rsidR="00F95152">
        <w:rPr>
          <w:b/>
          <w:szCs w:val="24"/>
        </w:rPr>
        <w:t>Maganhato "</w:t>
      </w:r>
      <w:r>
        <w:rPr>
          <w:b/>
          <w:szCs w:val="24"/>
        </w:rPr>
        <w:t>Manga</w:t>
      </w:r>
      <w:r w:rsidR="00F95152">
        <w:rPr>
          <w:b/>
          <w:szCs w:val="24"/>
        </w:rPr>
        <w:t>"</w:t>
      </w:r>
    </w:p>
    <w:p w:rsidR="001B0028" w:rsidRPr="0020457A" w:rsidRDefault="001B0028" w:rsidP="001B0028">
      <w:pPr>
        <w:spacing w:line="360" w:lineRule="auto"/>
        <w:jc w:val="center"/>
        <w:rPr>
          <w:szCs w:val="24"/>
        </w:rPr>
      </w:pPr>
      <w:r w:rsidRPr="0020457A">
        <w:rPr>
          <w:b/>
          <w:szCs w:val="24"/>
        </w:rPr>
        <w:t>Vereador</w:t>
      </w:r>
    </w:p>
    <w:p w:rsidR="001B0028" w:rsidRPr="00FD1ED9" w:rsidRDefault="001B0028" w:rsidP="001B0028">
      <w:pPr>
        <w:jc w:val="center"/>
        <w:rPr>
          <w:b/>
          <w:szCs w:val="24"/>
        </w:rPr>
      </w:pPr>
    </w:p>
    <w:p w:rsidR="00A4648E" w:rsidRDefault="00A4648E" w:rsidP="001B0028">
      <w:pPr>
        <w:jc w:val="both"/>
        <w:rPr>
          <w:b/>
          <w:smallCaps/>
          <w:szCs w:val="24"/>
        </w:rPr>
      </w:pPr>
    </w:p>
    <w:p w:rsidR="001B0028" w:rsidRPr="00FD1ED9" w:rsidRDefault="001B0028" w:rsidP="001B0028">
      <w:pPr>
        <w:jc w:val="both"/>
        <w:rPr>
          <w:b/>
          <w:smallCaps/>
          <w:szCs w:val="24"/>
        </w:rPr>
      </w:pPr>
      <w:r w:rsidRPr="00FD1ED9">
        <w:rPr>
          <w:b/>
          <w:smallCaps/>
          <w:szCs w:val="24"/>
        </w:rPr>
        <w:lastRenderedPageBreak/>
        <w:t>Justificativa:</w:t>
      </w:r>
    </w:p>
    <w:p w:rsidR="00285826" w:rsidRDefault="00285826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>“Lixeiro é um termo pejorativo, que deve ser empregado a quem produz o lixo e não a quem presta um serviço à sociedade e ao meio ambiente”, contextualiza Manassés Oliveira, presidente do Sindicato dos Empregados em Empresas de Asseio e Conservação de Curitiba (Siemaco). A categoria comemora hoje (21) o Dia do Coletor, que é o profissional que recolhe o lixo das residências e o coloca no caminhão de coleta.</w:t>
      </w:r>
    </w:p>
    <w:p w:rsidR="003512E7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 xml:space="preserve">O termo correto é coletor, que na verdade integra a categoria dos garis, que inclui os varredores, limpadores de bueiros e rios e ainda aqueles que podam galhos e árvores. </w:t>
      </w:r>
    </w:p>
    <w:p w:rsid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>A designação surgiu durante os tempos de Império, no Rio de Janeiro, quando Pedro Aleixo Gary assinou o primeiro contrato de limpeza urbana no Brasil. Ele costumava reunir funcionários para limpar as ruas após a passagem de cavalos. Era a “turma do gari”. E foi assim que o nome se popularizou e o termo começou a ser usado para os funcionários que cuidam da limpeza nas ruas.</w:t>
      </w:r>
    </w:p>
    <w:p w:rsidR="003512E7" w:rsidRPr="00A4648E" w:rsidRDefault="003512E7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  <w:b/>
        </w:rPr>
      </w:pPr>
      <w:r w:rsidRPr="00A4648E">
        <w:rPr>
          <w:rFonts w:ascii="Book Antiqua" w:hAnsi="Book Antiqua"/>
          <w:b/>
        </w:rPr>
        <w:t>PRECONCEITO</w:t>
      </w: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 xml:space="preserve">Estigmatizados pela sociedade, os coletores até hoje sofrem com o preconceito. “Aos poucos temos mudado esta realidade de acharem que o coletor é lixeiro, mas infelizmente ela ainda existe. São motoristas que não respeitam os trabalhadores nas ruas, xingam, achando que estão atrapalhando o trânsito. São moradores que reclamam do barulho do caminhão. São donos que </w:t>
      </w:r>
      <w:r w:rsidRPr="00A4648E">
        <w:rPr>
          <w:rFonts w:ascii="Book Antiqua" w:hAnsi="Book Antiqua"/>
        </w:rPr>
        <w:lastRenderedPageBreak/>
        <w:t>não prendem seus animais, que acabam mordendo constantemente os trabalhadores na hora da coleta”, ressalta Manassés.</w:t>
      </w: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>“Há uma grande discriminação e também falta de respeito. Este começa na educação que falta às pessoas em não armazenar corretamente objetos cortantes e pontiagudos, como vidros, que causam diversos ferimentos aos coletores. Sem falar na falta de consciência ambiental, que se mostra na questão da separação do lixo, que quase não existe.”</w:t>
      </w:r>
    </w:p>
    <w:p w:rsidR="00A4648E" w:rsidRPr="00A4648E" w:rsidRDefault="003512E7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A4648E" w:rsidRPr="00A4648E">
        <w:rPr>
          <w:rFonts w:ascii="Book Antiqua" w:hAnsi="Book Antiqua"/>
        </w:rPr>
        <w:t>altam políticas públicas e leis de incentivo para que moradores, empresas e fábricas reciclem seu lixo e deem correta destinação a ele.</w:t>
      </w: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A4648E" w:rsidRP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  <w:b/>
        </w:rPr>
      </w:pPr>
      <w:r w:rsidRPr="00A4648E">
        <w:rPr>
          <w:rFonts w:ascii="Book Antiqua" w:hAnsi="Book Antiqua"/>
          <w:b/>
        </w:rPr>
        <w:t>AVANÇOS</w:t>
      </w:r>
    </w:p>
    <w:p w:rsidR="00A4648E" w:rsidRDefault="00A4648E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A4648E">
        <w:rPr>
          <w:rFonts w:ascii="Book Antiqua" w:hAnsi="Book Antiqua"/>
        </w:rPr>
        <w:t xml:space="preserve">Os garis no Brasil podem comemorar alguns avanços. O mais recente foi a aprovação, na Câmara Federal, de um projeto de lei que reduz a carga horária destes trabalhadores a seis horas diárias. </w:t>
      </w:r>
    </w:p>
    <w:p w:rsidR="003512E7" w:rsidRDefault="003512E7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D106C5" w:rsidRDefault="00D106C5" w:rsidP="00A4648E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No mais, temos neste mesma esteira, Leis de iniciativa legislativa municipal, as quais contaram com parecer favorável da Secretaria Jurídica:</w:t>
      </w:r>
    </w:p>
    <w:p w:rsidR="007E6DB9" w:rsidRPr="007E6DB9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"</w:t>
      </w:r>
      <w:r w:rsidRPr="007E6DB9">
        <w:rPr>
          <w:rFonts w:ascii="Book Antiqua" w:hAnsi="Book Antiqua"/>
          <w:b/>
          <w:i/>
          <w:u w:val="single"/>
        </w:rPr>
        <w:t xml:space="preserve">Este Projeto de Lei  encontra respaldo em nosso Direito Positivo, neste diapasão passa-se a expor: </w:t>
      </w:r>
    </w:p>
    <w:p w:rsidR="007E6DB9" w:rsidRPr="007E6DB9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</w:p>
    <w:p w:rsidR="007E6DB9" w:rsidRPr="007E6DB9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  <w:r w:rsidRPr="007E6DB9">
        <w:rPr>
          <w:rFonts w:ascii="Book Antiqua" w:hAnsi="Book Antiqua"/>
          <w:b/>
          <w:i/>
          <w:u w:val="single"/>
        </w:rPr>
        <w:t xml:space="preserve">Constata-se que esta Proposição visa normatizar sobre a instituição do Dia e a Semana Municipal do Grafite e da Arte </w:t>
      </w:r>
      <w:r w:rsidRPr="007E6DB9">
        <w:rPr>
          <w:rFonts w:ascii="Book Antiqua" w:hAnsi="Book Antiqua"/>
          <w:b/>
          <w:i/>
          <w:u w:val="single"/>
        </w:rPr>
        <w:lastRenderedPageBreak/>
        <w:t>Urbana, tal intuito esta condizente com os ditames constitucionais, os quais impõe ao Estado (União, Estados, Distrito Federal e Municípios) que garanta o pleno exercício dos direitos culturais, bem como que preste apoio e incentivo a valorização e a difusão das manifestações culturais, nos termos supra estabelece infra a Constituição da República Federativa do Brasil</w:t>
      </w:r>
      <w:r>
        <w:rPr>
          <w:rFonts w:ascii="Book Antiqua" w:hAnsi="Book Antiqua"/>
          <w:b/>
          <w:i/>
          <w:u w:val="single"/>
        </w:rPr>
        <w:t>"</w:t>
      </w:r>
      <w:r>
        <w:rPr>
          <w:rStyle w:val="Refdenotaderodap"/>
          <w:rFonts w:ascii="Book Antiqua" w:hAnsi="Book Antiqua"/>
          <w:b/>
          <w:i/>
          <w:u w:val="single"/>
        </w:rPr>
        <w:footnoteReference w:id="1"/>
      </w:r>
    </w:p>
    <w:p w:rsidR="007E6DB9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D106C5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E ainda:</w:t>
      </w:r>
    </w:p>
    <w:p w:rsidR="007E6DB9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4425488" cy="256586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58" cy="25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w:drawing>
          <wp:inline distT="0" distB="0" distL="0" distR="0">
            <wp:extent cx="4244949" cy="3014749"/>
            <wp:effectExtent l="19050" t="0" r="3201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8" cy="301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Default="00D0283B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[...]</w:t>
      </w:r>
    </w:p>
    <w:p w:rsidR="007E6DB9" w:rsidRDefault="00D0283B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4244975" cy="885769"/>
            <wp:effectExtent l="19050" t="0" r="317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65" cy="8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28" w:rsidRDefault="001B0028" w:rsidP="00152AD2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Diante desta breve justificativa peço aos Nobres Pares a aprovação para garantirmos </w:t>
      </w:r>
      <w:r w:rsidR="006551CE">
        <w:rPr>
          <w:rFonts w:ascii="Book Antiqua" w:hAnsi="Book Antiqua"/>
        </w:rPr>
        <w:t xml:space="preserve">a dignidade e </w:t>
      </w:r>
      <w:r w:rsidR="001D372B">
        <w:rPr>
          <w:rFonts w:ascii="Book Antiqua" w:hAnsi="Book Antiqua"/>
        </w:rPr>
        <w:t>merecidas homenagens</w:t>
      </w:r>
      <w:r w:rsidR="006551CE">
        <w:rPr>
          <w:rFonts w:ascii="Book Antiqua" w:hAnsi="Book Antiqua"/>
        </w:rPr>
        <w:t xml:space="preserve"> </w:t>
      </w:r>
      <w:r w:rsidR="001D372B">
        <w:rPr>
          <w:rFonts w:ascii="Book Antiqua" w:hAnsi="Book Antiqua"/>
        </w:rPr>
        <w:t>d</w:t>
      </w:r>
      <w:r w:rsidR="006551CE">
        <w:rPr>
          <w:rFonts w:ascii="Book Antiqua" w:hAnsi="Book Antiqua"/>
        </w:rPr>
        <w:t>est</w:t>
      </w:r>
      <w:r w:rsidR="00A4648E">
        <w:rPr>
          <w:rFonts w:ascii="Book Antiqua" w:hAnsi="Book Antiqua"/>
        </w:rPr>
        <w:t>e</w:t>
      </w:r>
      <w:r w:rsidR="006551CE">
        <w:rPr>
          <w:rFonts w:ascii="Book Antiqua" w:hAnsi="Book Antiqua"/>
        </w:rPr>
        <w:t xml:space="preserve">s </w:t>
      </w:r>
      <w:r w:rsidR="00A4648E">
        <w:rPr>
          <w:rFonts w:ascii="Book Antiqua" w:hAnsi="Book Antiqua"/>
        </w:rPr>
        <w:t>profissionais</w:t>
      </w:r>
      <w:r w:rsidR="006551CE">
        <w:rPr>
          <w:rFonts w:ascii="Book Antiqua" w:hAnsi="Book Antiqua"/>
        </w:rPr>
        <w:t xml:space="preserve">, que muitas vezes </w:t>
      </w:r>
      <w:r w:rsidR="00A4648E">
        <w:rPr>
          <w:rFonts w:ascii="Book Antiqua" w:hAnsi="Book Antiqua"/>
        </w:rPr>
        <w:t>sofrem preconceito, entretanto exercem atividade de suma importância à toda sociedade.</w:t>
      </w:r>
      <w:r>
        <w:rPr>
          <w:rFonts w:ascii="Book Antiqua" w:hAnsi="Book Antiqua"/>
        </w:rPr>
        <w:t xml:space="preserve"> </w:t>
      </w:r>
    </w:p>
    <w:p w:rsidR="00152AD2" w:rsidRDefault="00152AD2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3512E7" w:rsidRDefault="003512E7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1B0028" w:rsidRPr="00FD1ED9" w:rsidRDefault="001B0028" w:rsidP="001B0028">
      <w:pPr>
        <w:jc w:val="center"/>
        <w:rPr>
          <w:b/>
          <w:szCs w:val="24"/>
        </w:rPr>
      </w:pPr>
      <w:r w:rsidRPr="00FD1ED9">
        <w:rPr>
          <w:b/>
          <w:szCs w:val="24"/>
        </w:rPr>
        <w:t xml:space="preserve">S/S., </w:t>
      </w:r>
      <w:r w:rsidR="00A4648E">
        <w:rPr>
          <w:b/>
          <w:szCs w:val="24"/>
        </w:rPr>
        <w:t>25</w:t>
      </w:r>
      <w:r w:rsidR="006551CE">
        <w:rPr>
          <w:b/>
          <w:szCs w:val="24"/>
        </w:rPr>
        <w:t xml:space="preserve"> </w:t>
      </w:r>
      <w:r w:rsidRPr="00FD1ED9">
        <w:rPr>
          <w:b/>
          <w:szCs w:val="24"/>
        </w:rPr>
        <w:t xml:space="preserve">de </w:t>
      </w:r>
      <w:r w:rsidR="00A4648E">
        <w:rPr>
          <w:b/>
          <w:szCs w:val="24"/>
        </w:rPr>
        <w:t>Abril</w:t>
      </w:r>
      <w:r w:rsidRPr="00FD1ED9">
        <w:rPr>
          <w:b/>
          <w:szCs w:val="24"/>
        </w:rPr>
        <w:t xml:space="preserve"> de</w:t>
      </w:r>
      <w:r>
        <w:rPr>
          <w:b/>
          <w:szCs w:val="24"/>
        </w:rPr>
        <w:t xml:space="preserve"> 2017.</w:t>
      </w:r>
    </w:p>
    <w:p w:rsidR="006551CE" w:rsidRDefault="006551CE" w:rsidP="001B0028">
      <w:pPr>
        <w:jc w:val="center"/>
        <w:rPr>
          <w:b/>
          <w:szCs w:val="24"/>
        </w:rPr>
      </w:pPr>
    </w:p>
    <w:p w:rsidR="00152AD2" w:rsidRDefault="00152AD2" w:rsidP="001B0028">
      <w:pPr>
        <w:jc w:val="center"/>
        <w:rPr>
          <w:b/>
          <w:szCs w:val="24"/>
        </w:rPr>
      </w:pPr>
    </w:p>
    <w:p w:rsidR="00D0283B" w:rsidRDefault="00D0283B" w:rsidP="001B0028">
      <w:pPr>
        <w:jc w:val="center"/>
        <w:rPr>
          <w:b/>
          <w:szCs w:val="24"/>
        </w:rPr>
      </w:pPr>
    </w:p>
    <w:p w:rsidR="006551CE" w:rsidRPr="00FD1ED9" w:rsidRDefault="006551CE" w:rsidP="001B0028">
      <w:pPr>
        <w:jc w:val="center"/>
        <w:rPr>
          <w:b/>
          <w:szCs w:val="24"/>
        </w:rPr>
      </w:pPr>
    </w:p>
    <w:p w:rsidR="006551CE" w:rsidRPr="0020457A" w:rsidRDefault="006551CE" w:rsidP="006551C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Rodrigo </w:t>
      </w:r>
      <w:r w:rsidR="00F95152">
        <w:rPr>
          <w:b/>
          <w:szCs w:val="24"/>
        </w:rPr>
        <w:t>Maganhato "</w:t>
      </w:r>
      <w:r>
        <w:rPr>
          <w:b/>
          <w:szCs w:val="24"/>
        </w:rPr>
        <w:t>Manga</w:t>
      </w:r>
      <w:r w:rsidR="00F95152">
        <w:rPr>
          <w:b/>
          <w:szCs w:val="24"/>
        </w:rPr>
        <w:t>"</w:t>
      </w:r>
    </w:p>
    <w:p w:rsidR="001B0028" w:rsidRDefault="006551CE" w:rsidP="00405875">
      <w:pPr>
        <w:spacing w:line="360" w:lineRule="auto"/>
        <w:jc w:val="center"/>
        <w:rPr>
          <w:b/>
          <w:szCs w:val="24"/>
        </w:rPr>
      </w:pPr>
      <w:r w:rsidRPr="0020457A">
        <w:rPr>
          <w:b/>
          <w:szCs w:val="24"/>
        </w:rPr>
        <w:t>Vereador</w:t>
      </w:r>
    </w:p>
    <w:sectPr w:rsidR="001B0028" w:rsidSect="00D42F8B">
      <w:headerReference w:type="default" r:id="rId10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EA" w:rsidRDefault="00F519EA" w:rsidP="006551CE">
      <w:r>
        <w:separator/>
      </w:r>
    </w:p>
  </w:endnote>
  <w:endnote w:type="continuationSeparator" w:id="0">
    <w:p w:rsidR="00F519EA" w:rsidRDefault="00F519EA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EA" w:rsidRDefault="00F519EA" w:rsidP="006551CE">
      <w:r>
        <w:separator/>
      </w:r>
    </w:p>
  </w:footnote>
  <w:footnote w:type="continuationSeparator" w:id="0">
    <w:p w:rsidR="00F519EA" w:rsidRDefault="00F519EA" w:rsidP="006551CE">
      <w:r>
        <w:continuationSeparator/>
      </w:r>
    </w:p>
  </w:footnote>
  <w:footnote w:id="1">
    <w:p w:rsidR="007E6DB9" w:rsidRDefault="007E6DB9" w:rsidP="007E6D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E6DB9">
        <w:rPr>
          <w:sz w:val="16"/>
          <w:szCs w:val="16"/>
        </w:rPr>
        <w:t>Projeto de Lei Ordinária  211/2016 - Vereador Francisco Carlos Silveira Leite - Lei 11.433 de 13 de outubro de 2016. Publicados no DOM em 11.11.2016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B2013"/>
    <w:rsid w:val="00152AD2"/>
    <w:rsid w:val="0017687F"/>
    <w:rsid w:val="001B0028"/>
    <w:rsid w:val="001D372B"/>
    <w:rsid w:val="001E6114"/>
    <w:rsid w:val="0027125E"/>
    <w:rsid w:val="00285826"/>
    <w:rsid w:val="0028666F"/>
    <w:rsid w:val="002C2671"/>
    <w:rsid w:val="002C5E4A"/>
    <w:rsid w:val="003428D0"/>
    <w:rsid w:val="003512E7"/>
    <w:rsid w:val="003B5DD4"/>
    <w:rsid w:val="003D7554"/>
    <w:rsid w:val="003F016B"/>
    <w:rsid w:val="00405875"/>
    <w:rsid w:val="004A6023"/>
    <w:rsid w:val="004B42F7"/>
    <w:rsid w:val="00616F03"/>
    <w:rsid w:val="006551CE"/>
    <w:rsid w:val="006A4167"/>
    <w:rsid w:val="006C0AF8"/>
    <w:rsid w:val="007E6DB9"/>
    <w:rsid w:val="008044D4"/>
    <w:rsid w:val="00857F3A"/>
    <w:rsid w:val="00967741"/>
    <w:rsid w:val="009E13EF"/>
    <w:rsid w:val="009F2351"/>
    <w:rsid w:val="009F3583"/>
    <w:rsid w:val="00A4648E"/>
    <w:rsid w:val="00AF38B8"/>
    <w:rsid w:val="00B1175C"/>
    <w:rsid w:val="00B21F62"/>
    <w:rsid w:val="00B54551"/>
    <w:rsid w:val="00C26FD0"/>
    <w:rsid w:val="00C9625D"/>
    <w:rsid w:val="00CC6217"/>
    <w:rsid w:val="00CF6917"/>
    <w:rsid w:val="00D0283B"/>
    <w:rsid w:val="00D106C5"/>
    <w:rsid w:val="00D15D8A"/>
    <w:rsid w:val="00D6070E"/>
    <w:rsid w:val="00DF3F8B"/>
    <w:rsid w:val="00F519EA"/>
    <w:rsid w:val="00F95152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37E78-8552-479C-A831-DD649DE8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CCBF-41C6-4635-B72C-F86AC09F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4C518946</Template>
  <TotalTime>0</TotalTime>
  <Pages>5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</cp:revision>
  <cp:lastPrinted>2017-04-26T20:05:00Z</cp:lastPrinted>
  <dcterms:created xsi:type="dcterms:W3CDTF">2017-04-28T19:21:00Z</dcterms:created>
  <dcterms:modified xsi:type="dcterms:W3CDTF">2017-04-28T19:21:00Z</dcterms:modified>
</cp:coreProperties>
</file>