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266D40">
        <w:rPr>
          <w:rFonts w:ascii="Times New Roman" w:hAnsi="Times New Roman"/>
          <w:b/>
          <w:smallCaps/>
          <w:szCs w:val="24"/>
        </w:rPr>
        <w:t>117</w:t>
      </w:r>
      <w:bookmarkStart w:id="0" w:name="_GoBack"/>
      <w:bookmarkEnd w:id="0"/>
      <w:r w:rsidR="002C1AB2">
        <w:rPr>
          <w:rFonts w:ascii="Times New Roman" w:hAnsi="Times New Roman"/>
          <w:b/>
          <w:smallCaps/>
          <w:szCs w:val="24"/>
        </w:rPr>
        <w:t>/2020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Pr="0070532B" w:rsidRDefault="00F86BEE" w:rsidP="00967098">
      <w:pPr>
        <w:ind w:left="340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42924" w:rsidRPr="00302C2B" w:rsidRDefault="00442924" w:rsidP="00302C2B">
      <w:pPr>
        <w:spacing w:line="360" w:lineRule="auto"/>
        <w:ind w:left="3402"/>
        <w:jc w:val="both"/>
        <w:rPr>
          <w:rFonts w:ascii="Times New Roman" w:hAnsi="Times New Roman"/>
          <w:bCs/>
          <w:szCs w:val="24"/>
        </w:rPr>
      </w:pPr>
      <w:r w:rsidRPr="00302C2B">
        <w:rPr>
          <w:rFonts w:ascii="Times New Roman" w:hAnsi="Times New Roman"/>
          <w:szCs w:val="24"/>
        </w:rPr>
        <w:t>“</w:t>
      </w:r>
      <w:r w:rsidR="00302C2B" w:rsidRPr="00302C2B">
        <w:rPr>
          <w:rFonts w:ascii="Times New Roman" w:hAnsi="Times New Roman"/>
          <w:szCs w:val="24"/>
        </w:rPr>
        <w:t xml:space="preserve">Dispõe sobre </w:t>
      </w:r>
      <w:r w:rsidR="00302C2B" w:rsidRPr="00302C2B">
        <w:rPr>
          <w:rFonts w:ascii="Times New Roman" w:hAnsi="Times New Roman"/>
          <w:bCs/>
          <w:szCs w:val="24"/>
        </w:rPr>
        <w:t>o estabelecimento de cotas raciais para o ingresso de negros e negras no serviço público municipal em cargos efetivos e comissionados</w:t>
      </w:r>
      <w:r w:rsidR="00302C2B" w:rsidRPr="00302C2B">
        <w:rPr>
          <w:rFonts w:ascii="Times New Roman" w:hAnsi="Times New Roman"/>
          <w:szCs w:val="24"/>
        </w:rPr>
        <w:t>.”</w:t>
      </w:r>
    </w:p>
    <w:p w:rsidR="00414784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F86BEE" w:rsidRDefault="00F86BEE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414784" w:rsidRPr="004B0F8F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  <w:r w:rsidRPr="004B0F8F">
        <w:rPr>
          <w:rFonts w:ascii="Times New Roman" w:hAnsi="Times New Roman"/>
          <w:szCs w:val="24"/>
        </w:rPr>
        <w:t>A Câmara Municipal de Sorocaba decreta:</w:t>
      </w:r>
    </w:p>
    <w:p w:rsidR="0070532B" w:rsidRPr="007C3D72" w:rsidRDefault="0070532B" w:rsidP="0070532B">
      <w:pPr>
        <w:spacing w:line="360" w:lineRule="auto"/>
        <w:ind w:left="3686"/>
        <w:jc w:val="both"/>
        <w:rPr>
          <w:rFonts w:ascii="Times New Roman" w:hAnsi="Times New Roman"/>
          <w:bCs/>
          <w:szCs w:val="24"/>
        </w:rPr>
      </w:pPr>
    </w:p>
    <w:p w:rsidR="00442924" w:rsidRDefault="00442924" w:rsidP="00302C2B">
      <w:pPr>
        <w:pStyle w:val="Default"/>
        <w:spacing w:line="360" w:lineRule="auto"/>
        <w:ind w:firstLine="1134"/>
        <w:jc w:val="both"/>
      </w:pPr>
      <w:r w:rsidRPr="008644F5">
        <w:rPr>
          <w:b/>
        </w:rPr>
        <w:t>Art. 1º</w:t>
      </w:r>
      <w:r w:rsidR="00302C2B" w:rsidRPr="00302C2B">
        <w:t xml:space="preserve"> Todos os órgãos da Administração Pública Direta e Indireta do Município de </w:t>
      </w:r>
      <w:r w:rsidR="00302C2B">
        <w:t>Sorocaba</w:t>
      </w:r>
      <w:r w:rsidR="00302C2B" w:rsidRPr="00302C2B">
        <w:t xml:space="preserve"> ficam obrigados a disponibilizar em seus quadros de cargos em comissão e efetivos o limite mínimo de 20% (vinte por cento) das vagas e/ou cargos públicos para afrodescendentes</w:t>
      </w:r>
      <w:r w:rsidR="00F359CA">
        <w:t>, ou seja, negras e negros, pretas e pretos.</w:t>
      </w:r>
    </w:p>
    <w:p w:rsidR="00F359CA" w:rsidRDefault="00F359CA" w:rsidP="00302C2B">
      <w:pPr>
        <w:pStyle w:val="Default"/>
        <w:spacing w:line="360" w:lineRule="auto"/>
        <w:ind w:firstLine="1134"/>
        <w:jc w:val="both"/>
      </w:pPr>
    </w:p>
    <w:p w:rsidR="00302C2B" w:rsidRDefault="00302C2B" w:rsidP="00302C2B">
      <w:pPr>
        <w:pStyle w:val="Default"/>
        <w:spacing w:line="360" w:lineRule="auto"/>
        <w:ind w:firstLine="1134"/>
        <w:jc w:val="both"/>
      </w:pPr>
      <w:r w:rsidRPr="00302C2B">
        <w:t xml:space="preserve">§ 1º Para os efeitos desta lei, consideram-se </w:t>
      </w:r>
      <w:r w:rsidR="00F359CA" w:rsidRPr="00302C2B">
        <w:t>afrodescendentes</w:t>
      </w:r>
      <w:r w:rsidR="00F359CA">
        <w:t xml:space="preserve">, </w:t>
      </w:r>
      <w:r w:rsidRPr="00302C2B">
        <w:t>negr</w:t>
      </w:r>
      <w:r w:rsidR="00F359CA">
        <w:t>a</w:t>
      </w:r>
      <w:r w:rsidRPr="00302C2B">
        <w:t>s, negr</w:t>
      </w:r>
      <w:r w:rsidR="00F359CA">
        <w:t>o</w:t>
      </w:r>
      <w:r w:rsidRPr="00302C2B">
        <w:t>s</w:t>
      </w:r>
      <w:r w:rsidR="00F359CA">
        <w:t>, pretas e pretos,</w:t>
      </w:r>
      <w:r w:rsidRPr="00302C2B">
        <w:t xml:space="preserve"> as pessoas que se enquadram como pretos, pardos ou denominação equivalente, conforme estabelecido pelo Instituto Brasileiro de Geografia e Estatística - IBGE, ou seja, será considerada a autodeclaração.</w:t>
      </w:r>
    </w:p>
    <w:p w:rsidR="00F359CA" w:rsidRDefault="00F359CA" w:rsidP="00302C2B">
      <w:pPr>
        <w:pStyle w:val="Default"/>
        <w:spacing w:line="360" w:lineRule="auto"/>
        <w:ind w:firstLine="1134"/>
        <w:jc w:val="both"/>
      </w:pPr>
    </w:p>
    <w:p w:rsidR="00F359CA" w:rsidRDefault="00F359CA" w:rsidP="00302C2B">
      <w:pPr>
        <w:pStyle w:val="Default"/>
        <w:spacing w:line="360" w:lineRule="auto"/>
        <w:ind w:firstLine="1134"/>
        <w:jc w:val="both"/>
      </w:pPr>
      <w:r w:rsidRPr="00302C2B">
        <w:t>§ 2º</w:t>
      </w:r>
      <w:r>
        <w:t xml:space="preserve"> A </w:t>
      </w:r>
      <w:r w:rsidR="003A6C72">
        <w:t>a</w:t>
      </w:r>
      <w:r>
        <w:t>utodeclaração deverá ser analisada por Comissão de heteroidentificação racial</w:t>
      </w:r>
      <w:r w:rsidR="003A6C72">
        <w:t xml:space="preserve">, </w:t>
      </w:r>
      <w:r w:rsidR="003A6C72" w:rsidRPr="00F359CA">
        <w:t>respeitada a dignidade da pessoa humana e garantidos o contraditório e a ampla defesa</w:t>
      </w:r>
      <w:r w:rsidR="003A6C72">
        <w:t>.</w:t>
      </w:r>
    </w:p>
    <w:p w:rsidR="00F359CA" w:rsidRDefault="00F359CA" w:rsidP="00302C2B">
      <w:pPr>
        <w:pStyle w:val="Default"/>
        <w:spacing w:line="360" w:lineRule="auto"/>
        <w:ind w:firstLine="1134"/>
        <w:jc w:val="both"/>
      </w:pPr>
    </w:p>
    <w:p w:rsidR="00302C2B" w:rsidRDefault="00302C2B" w:rsidP="00302C2B">
      <w:pPr>
        <w:pStyle w:val="Default"/>
        <w:spacing w:line="360" w:lineRule="auto"/>
        <w:ind w:firstLine="1134"/>
        <w:jc w:val="both"/>
      </w:pPr>
      <w:r w:rsidRPr="00302C2B">
        <w:t xml:space="preserve">§ </w:t>
      </w:r>
      <w:r w:rsidR="00F359CA">
        <w:t>3</w:t>
      </w:r>
      <w:r w:rsidRPr="00302C2B">
        <w:t xml:space="preserve">º Os percentuais mínimos previstos no "caput" deste </w:t>
      </w:r>
      <w:r w:rsidR="003A6C72">
        <w:t>artigo</w:t>
      </w:r>
      <w:r w:rsidRPr="00302C2B">
        <w:t xml:space="preserve"> aplicam-se à contratação de estágio profissional desenvolvido pela Administração Direta e Indireta do Município de </w:t>
      </w:r>
      <w:r w:rsidR="00F359CA">
        <w:t>Sorocaba</w:t>
      </w:r>
      <w:r w:rsidRPr="00302C2B">
        <w:t>.</w:t>
      </w:r>
    </w:p>
    <w:p w:rsidR="00F359CA" w:rsidRDefault="00F359CA" w:rsidP="00302C2B">
      <w:pPr>
        <w:pStyle w:val="Default"/>
        <w:spacing w:line="360" w:lineRule="auto"/>
        <w:ind w:firstLine="1134"/>
        <w:jc w:val="both"/>
      </w:pPr>
    </w:p>
    <w:p w:rsidR="00302C2B" w:rsidRDefault="00302C2B" w:rsidP="00302C2B">
      <w:pPr>
        <w:pStyle w:val="Default"/>
        <w:spacing w:line="360" w:lineRule="auto"/>
        <w:ind w:firstLine="1134"/>
        <w:jc w:val="both"/>
      </w:pPr>
      <w:r w:rsidRPr="00302C2B">
        <w:lastRenderedPageBreak/>
        <w:t xml:space="preserve">§ </w:t>
      </w:r>
      <w:r w:rsidR="00F359CA">
        <w:t>4</w:t>
      </w:r>
      <w:r w:rsidRPr="00302C2B">
        <w:t>º Será garantida a equidade de gênero para composição das ocupações a que se refere a presente lei.</w:t>
      </w:r>
      <w:bookmarkStart w:id="1" w:name="artigo_2"/>
    </w:p>
    <w:p w:rsidR="00236235" w:rsidRDefault="00236235" w:rsidP="00302C2B">
      <w:pPr>
        <w:pStyle w:val="Default"/>
        <w:spacing w:line="360" w:lineRule="auto"/>
        <w:ind w:firstLine="1134"/>
        <w:jc w:val="both"/>
      </w:pPr>
    </w:p>
    <w:p w:rsidR="00F359CA" w:rsidRDefault="00302C2B" w:rsidP="003A6C72">
      <w:pPr>
        <w:pStyle w:val="Default"/>
        <w:spacing w:line="360" w:lineRule="auto"/>
        <w:ind w:firstLine="1134"/>
        <w:jc w:val="both"/>
      </w:pPr>
      <w:r w:rsidRPr="00302C2B">
        <w:rPr>
          <w:b/>
          <w:bCs/>
        </w:rPr>
        <w:t>Art. 2º</w:t>
      </w:r>
      <w:bookmarkEnd w:id="1"/>
      <w:r w:rsidRPr="00302C2B">
        <w:t> Para investidura em cargos efetivos e/ou estatutários</w:t>
      </w:r>
      <w:r w:rsidR="003A6C72">
        <w:t>, com escolaridade e requisitos do cargo fixados em lei e previstos em edital,</w:t>
      </w:r>
      <w:r w:rsidRPr="00302C2B">
        <w:t xml:space="preserve"> os beneficiários das cotas garantidas pela presente lei necessariamente deverão prestar concurso público</w:t>
      </w:r>
      <w:r w:rsidR="003A6C72">
        <w:t xml:space="preserve">, </w:t>
      </w:r>
      <w:r w:rsidRPr="00302C2B">
        <w:t xml:space="preserve"> para seu ingresso no serviço público</w:t>
      </w:r>
      <w:bookmarkStart w:id="2" w:name="artigo_3"/>
      <w:r w:rsidR="00F359CA">
        <w:t>.</w:t>
      </w:r>
    </w:p>
    <w:p w:rsidR="00302C2B" w:rsidRDefault="00302C2B" w:rsidP="00302C2B">
      <w:pPr>
        <w:pStyle w:val="Default"/>
        <w:spacing w:line="360" w:lineRule="auto"/>
        <w:ind w:firstLine="1134"/>
        <w:jc w:val="both"/>
      </w:pPr>
    </w:p>
    <w:p w:rsidR="00302C2B" w:rsidRDefault="00302C2B" w:rsidP="00302C2B">
      <w:pPr>
        <w:pStyle w:val="Default"/>
        <w:spacing w:line="360" w:lineRule="auto"/>
        <w:ind w:firstLine="1134"/>
        <w:jc w:val="both"/>
      </w:pPr>
      <w:r w:rsidRPr="00302C2B">
        <w:rPr>
          <w:b/>
          <w:bCs/>
        </w:rPr>
        <w:t>Art. 3º</w:t>
      </w:r>
      <w:bookmarkEnd w:id="2"/>
      <w:r w:rsidRPr="00302C2B">
        <w:t> Em caso de não preenchimento do percentual mínimo para ingresso através de concurso público, as vagas remanescentes serão distribuídas aos demais candidatos.</w:t>
      </w:r>
    </w:p>
    <w:p w:rsidR="00302C2B" w:rsidRDefault="00302C2B" w:rsidP="00302C2B">
      <w:pPr>
        <w:pStyle w:val="Default"/>
        <w:spacing w:line="360" w:lineRule="auto"/>
        <w:ind w:firstLine="1134"/>
        <w:jc w:val="both"/>
      </w:pPr>
      <w:r w:rsidRPr="00302C2B">
        <w:t xml:space="preserve">Parágrafo Único. </w:t>
      </w:r>
      <w:r w:rsidR="00236235">
        <w:t>A exceção</w:t>
      </w:r>
      <w:r w:rsidRPr="00302C2B">
        <w:t xml:space="preserve"> dispos</w:t>
      </w:r>
      <w:r w:rsidR="00236235">
        <w:t>ta</w:t>
      </w:r>
      <w:r w:rsidRPr="00302C2B">
        <w:t xml:space="preserve"> no "caput" </w:t>
      </w:r>
      <w:r w:rsidR="00236235">
        <w:t xml:space="preserve">deste artigo, </w:t>
      </w:r>
      <w:r w:rsidRPr="00302C2B">
        <w:t>não se aplica em r</w:t>
      </w:r>
      <w:r>
        <w:t>elação aos cargos comissionados</w:t>
      </w:r>
      <w:bookmarkStart w:id="3" w:name="artigo_5"/>
      <w:r w:rsidR="00F95D95">
        <w:t>, que deverão preencher percentual mínimo de 20% em qualquer hipótese.</w:t>
      </w:r>
    </w:p>
    <w:p w:rsidR="00236235" w:rsidRDefault="00236235" w:rsidP="00302C2B">
      <w:pPr>
        <w:pStyle w:val="Default"/>
        <w:spacing w:line="360" w:lineRule="auto"/>
        <w:ind w:firstLine="1134"/>
        <w:jc w:val="both"/>
      </w:pPr>
    </w:p>
    <w:p w:rsidR="00302C2B" w:rsidRDefault="00302C2B" w:rsidP="00302C2B">
      <w:pPr>
        <w:pStyle w:val="Default"/>
        <w:spacing w:line="360" w:lineRule="auto"/>
        <w:ind w:firstLine="1134"/>
        <w:jc w:val="both"/>
      </w:pPr>
      <w:r w:rsidRPr="00302C2B">
        <w:rPr>
          <w:b/>
          <w:bCs/>
        </w:rPr>
        <w:t xml:space="preserve">Art. </w:t>
      </w:r>
      <w:r w:rsidR="00236235">
        <w:rPr>
          <w:b/>
          <w:bCs/>
        </w:rPr>
        <w:t>4</w:t>
      </w:r>
      <w:r w:rsidRPr="00302C2B">
        <w:rPr>
          <w:b/>
          <w:bCs/>
        </w:rPr>
        <w:t>º</w:t>
      </w:r>
      <w:bookmarkEnd w:id="3"/>
      <w:r w:rsidRPr="00302C2B">
        <w:t> As despesas decorrentes da execução desta lei correrão por conta das dotações orçamentárias próprias.</w:t>
      </w:r>
      <w:bookmarkStart w:id="4" w:name="artigo_6"/>
    </w:p>
    <w:p w:rsidR="00302C2B" w:rsidRDefault="00302C2B" w:rsidP="00302C2B">
      <w:pPr>
        <w:pStyle w:val="Default"/>
        <w:spacing w:line="360" w:lineRule="auto"/>
        <w:ind w:firstLine="1134"/>
        <w:jc w:val="both"/>
      </w:pPr>
    </w:p>
    <w:p w:rsidR="00302C2B" w:rsidRDefault="00302C2B" w:rsidP="00302C2B">
      <w:pPr>
        <w:pStyle w:val="Default"/>
        <w:spacing w:line="360" w:lineRule="auto"/>
        <w:ind w:firstLine="1134"/>
        <w:jc w:val="both"/>
      </w:pPr>
      <w:r w:rsidRPr="00302C2B">
        <w:rPr>
          <w:b/>
          <w:bCs/>
        </w:rPr>
        <w:t xml:space="preserve">Art. </w:t>
      </w:r>
      <w:r w:rsidR="00236235">
        <w:rPr>
          <w:b/>
          <w:bCs/>
        </w:rPr>
        <w:t>5</w:t>
      </w:r>
      <w:r w:rsidRPr="00302C2B">
        <w:rPr>
          <w:b/>
          <w:bCs/>
        </w:rPr>
        <w:t>º</w:t>
      </w:r>
      <w:bookmarkEnd w:id="4"/>
      <w:r w:rsidRPr="00302C2B">
        <w:t> O Poder Executivo regulamentará esta lei em até 90 dias a contar da data de publicação.</w:t>
      </w:r>
      <w:bookmarkStart w:id="5" w:name="artigo_7"/>
    </w:p>
    <w:p w:rsidR="00302C2B" w:rsidRDefault="00302C2B" w:rsidP="00302C2B">
      <w:pPr>
        <w:pStyle w:val="Default"/>
        <w:spacing w:line="360" w:lineRule="auto"/>
        <w:ind w:firstLine="1134"/>
        <w:jc w:val="both"/>
      </w:pPr>
    </w:p>
    <w:p w:rsidR="00302C2B" w:rsidRDefault="00302C2B" w:rsidP="00302C2B">
      <w:pPr>
        <w:pStyle w:val="Default"/>
        <w:spacing w:line="360" w:lineRule="auto"/>
        <w:ind w:firstLine="1134"/>
        <w:jc w:val="both"/>
      </w:pPr>
      <w:r w:rsidRPr="00302C2B">
        <w:rPr>
          <w:b/>
          <w:bCs/>
        </w:rPr>
        <w:t xml:space="preserve">Art. </w:t>
      </w:r>
      <w:r w:rsidR="00236235">
        <w:rPr>
          <w:b/>
          <w:bCs/>
        </w:rPr>
        <w:t>6</w:t>
      </w:r>
      <w:r w:rsidRPr="00302C2B">
        <w:rPr>
          <w:b/>
          <w:bCs/>
        </w:rPr>
        <w:t>º</w:t>
      </w:r>
      <w:bookmarkEnd w:id="5"/>
      <w:r w:rsidRPr="00302C2B">
        <w:t> Esta lei entra em vigor na data de sua publicação.</w:t>
      </w:r>
    </w:p>
    <w:p w:rsidR="00302C2B" w:rsidRDefault="00302C2B" w:rsidP="004B0F8F">
      <w:pPr>
        <w:jc w:val="center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</w:p>
    <w:p w:rsidR="00302C2B" w:rsidRDefault="00302C2B" w:rsidP="004B0F8F">
      <w:pPr>
        <w:jc w:val="center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</w:p>
    <w:p w:rsidR="00302C2B" w:rsidRDefault="00302C2B" w:rsidP="004B0F8F">
      <w:pPr>
        <w:jc w:val="center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</w:p>
    <w:p w:rsidR="00302C2B" w:rsidRDefault="00302C2B" w:rsidP="004B0F8F">
      <w:pPr>
        <w:jc w:val="center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</w:p>
    <w:p w:rsidR="004B0F8F" w:rsidRPr="00A54891" w:rsidRDefault="00A54891" w:rsidP="004B0F8F">
      <w:pPr>
        <w:jc w:val="center"/>
        <w:rPr>
          <w:rFonts w:ascii="Times New Roman" w:hAnsi="Times New Roman"/>
          <w:b/>
          <w:szCs w:val="24"/>
        </w:rPr>
      </w:pPr>
      <w:r w:rsidRPr="00A54891">
        <w:rPr>
          <w:rFonts w:ascii="Times New Roman" w:hAnsi="Times New Roman"/>
          <w:b/>
          <w:szCs w:val="24"/>
        </w:rPr>
        <w:t>FERNANDA GARCIA</w:t>
      </w: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p w:rsidR="00AE24A2" w:rsidRDefault="00AE24A2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</w:p>
    <w:p w:rsidR="00AE24A2" w:rsidRDefault="00AE24A2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</w:p>
    <w:p w:rsidR="003A6C72" w:rsidRDefault="003A6C72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</w:p>
    <w:p w:rsidR="00823BE4" w:rsidRDefault="00823BE4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442924" w:rsidRDefault="00442924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</w:p>
    <w:p w:rsidR="00F359CA" w:rsidRDefault="00F359CA" w:rsidP="00D52EE0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Este projeto contou com a análise e contribuição do </w:t>
      </w:r>
      <w:r w:rsidRPr="00F359CA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Coletivo Ativismo de Resistencia/Ação Periférica</w:t>
      </w: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 de Sorocaba</w:t>
      </w:r>
      <w:r w:rsidR="000347EC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, Clube 28 e Conselho Municipal da Participação e Desenvolvimento Comunidade Negra de Sorocaba.</w:t>
      </w:r>
    </w:p>
    <w:p w:rsidR="000347EC" w:rsidRDefault="000347EC" w:rsidP="00D52EE0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</w:p>
    <w:p w:rsidR="008644F5" w:rsidRDefault="008644F5" w:rsidP="00D52EE0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>Sorocaba possui a semana de Igualdade Racial instituída por lei, bem como o feriado em 20 de novembro da consciência negra. Tem ainda marcado em seu calendário oficial o dia da mulher negra, Lei n° 11.812/2018, mas é preciso avançar e garantir políticas de efetiva promoção da igualdade racial.</w:t>
      </w:r>
    </w:p>
    <w:p w:rsidR="00D52EE0" w:rsidRPr="00D52EE0" w:rsidRDefault="008644F5" w:rsidP="00D52EE0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Muito se tem dito também sobre o combate ao racismo estrutural, ponto abordado na decisão proferida pelo </w:t>
      </w:r>
      <w:r w:rsidRPr="00D52EE0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S</w:t>
      </w: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>upremo Tribunal Federal - S</w:t>
      </w:r>
      <w:r w:rsidRPr="00D52EE0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TF</w:t>
      </w: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 que em 2017 o</w:t>
      </w:r>
      <w:r w:rsidR="00D52EE0" w:rsidRPr="00D52EE0"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 entendeu</w:t>
      </w: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 </w:t>
      </w:r>
      <w:r w:rsidR="00D52EE0" w:rsidRPr="00D52EE0"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 pela constitucionalidade das disposições da Lei</w:t>
      </w: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 Federal</w:t>
      </w:r>
      <w:r w:rsidR="00D52EE0" w:rsidRPr="00D52EE0"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 n. 12.990/2014, que trata das cotas para negros e pardos nos concursos públicos.</w:t>
      </w: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 </w:t>
      </w:r>
      <w:r w:rsidR="00D52EE0" w:rsidRPr="00D52EE0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O julgamento foi proferido por meio da ADC n. 41, que resultou na seguinte ementa:</w:t>
      </w:r>
    </w:p>
    <w:p w:rsidR="008644F5" w:rsidRPr="00AE24A2" w:rsidRDefault="00D52EE0" w:rsidP="000639C4">
      <w:pPr>
        <w:spacing w:line="360" w:lineRule="auto"/>
        <w:ind w:firstLine="567"/>
        <w:jc w:val="both"/>
        <w:rPr>
          <w:rFonts w:ascii="Times New Roman" w:eastAsia="Calibri" w:hAnsi="Times New Roman"/>
          <w:i/>
          <w:color w:val="000000"/>
          <w:kern w:val="1"/>
          <w:sz w:val="20"/>
          <w:lang w:eastAsia="en-US"/>
        </w:rPr>
      </w:pPr>
      <w:r w:rsidRPr="00A54891">
        <w:rPr>
          <w:rFonts w:ascii="Times New Roman" w:eastAsia="Calibri" w:hAnsi="Times New Roman"/>
          <w:i/>
          <w:color w:val="000000"/>
          <w:kern w:val="1"/>
          <w:sz w:val="20"/>
          <w:lang w:eastAsia="en-US"/>
        </w:rPr>
        <w:t xml:space="preserve">É constitucional a Lei n. 12.990/2014, que reserva a pessoas negras 20% das vagas oferecidas nos concursos públicos para provimento de cargos efetivos e empregos públicos no âmbito da administração pública federal direta e indireta, por três fundamentos. 1.1. Em primeiro lugar, a desequiparação promovida pela política de ação afirmativa em questão está em consonância com o princípio da isonomia. Ela se funda na necessidade de superar o racismo estrutural e institucional ainda existente na sociedade brasileira, e garantir a igualdade material entre os cidadãos, por meio da distribuição mais equitativa de bens sociais e da promoção do reconhecimento da população afrodescendente. 1.2. Em segundo lugar, não há violação aos princípios do concurso público e da eficiência. A reserva de vagas para negros não os isenta da aprovação no concurso público. Como qualquer outro candidato, o beneficiário da política deve alcançar a nota necessária para que seja considerado apto a exercer, de forma adequada e eficiente, o cargo em questão. Além disso, a incorporação do fator “raça” como critério de seleção, ao invés de afetar o princípio da eficiência, contribui para sua realização em maior extensão, criando uma “burocracia representativa”, capaz de garantir que os pontos de vista e interesses de toda a população sejam considerados na tomada de decisões estatais. 1.3. Em terceiro lugar, a medida observa o princípio da proporcionalidade em sua tríplice dimensão. A existência de uma política de cotas para o acesso de negros à educação superior não torna a reserva de vagas nos quadros da administração pública desnecessária ou desproporcional em sentido estrito. Isso porque: (i) nem todos os cargos e </w:t>
      </w:r>
      <w:r w:rsidRPr="00A54891">
        <w:rPr>
          <w:rFonts w:ascii="Times New Roman" w:eastAsia="Calibri" w:hAnsi="Times New Roman"/>
          <w:i/>
          <w:color w:val="000000"/>
          <w:kern w:val="1"/>
          <w:sz w:val="20"/>
          <w:lang w:eastAsia="en-US"/>
        </w:rPr>
        <w:lastRenderedPageBreak/>
        <w:t>empregos públicos exigem curso superior; (ii) ainda quando haja essa exigência, os beneficiários da ação afirmativa no serviço público podem não ter sido beneficiários das cotas nas universidades públicas; e (iii) mesmo que o concorrente tenha ingressado em curso de ensino superior por meio de cotas, há outros fatores que impedem os negros de competir em pé de igualdade nos concursos públicos, justificando a política de ação afirmativa instituída pela Lei n° 12.990/2014. 2. Ademais, a fim de garantir a efetividade da política em questão, também é constitucional a instituição de mecanismos para evitar fraudes pelos candidatos. É legítima a utilização, além da autodeclaração, de critérios subsidiários de heteroidentificação (e.g., a exigência de autodeclaração presencial perante a comissão do concurso), desde que respeitada a dignidade da pessoa humana e garantidos o contraditório e a ampla defesa. 3. Por fim, a administração pública deve atentar para os seguintes parâmetros: (i) os percentuais de reserva de vaga devem valer para todas as fases dos concursos; (ii) a reserva deve ser aplicada em todas as vagas oferecidas no concurso público (não apenas no edital de abertura); (iii) os concursos não podem fracionar as vagas de acordo com a especialização exigida para burlar a política de ação afirmativa, que só se aplica em concursos com mais de duas vagas; e (iv) a ordem classificatória obtida a partir da aplicação dos critérios de alternância e proporcionalidade na nomeação dos candidatos aprovados deve produzir efeitos durante toda a carreira funcional do beneficiário da reserva de vagas. 4. Procedência do pedido, para fins de declarar a integral constitucionalidade da Lei n. 12.990/2014. Tese de julgamento: “</w:t>
      </w:r>
      <w:r w:rsidRPr="00A54891">
        <w:rPr>
          <w:rFonts w:ascii="Times New Roman" w:eastAsia="Calibri" w:hAnsi="Times New Roman"/>
          <w:b/>
          <w:bCs/>
          <w:i/>
          <w:color w:val="000000"/>
          <w:kern w:val="1"/>
          <w:sz w:val="20"/>
          <w:lang w:eastAsia="en-US"/>
        </w:rPr>
        <w:t>É constitucional a reserva de 20% das vagas oferecidas nos concursos públicos para provimento de cargos efetivos e empregos públicos no âmbito da administração pública direta e indireta. É legítima a utilização, além da autodeclaração, de critérios subsidiários de heteroidentificação, desde que respeitada a dignidade da pessoa humana e garantidos o contraditório e a ampla defesa</w:t>
      </w:r>
      <w:r w:rsidRPr="00A54891">
        <w:rPr>
          <w:rFonts w:ascii="Times New Roman" w:eastAsia="Calibri" w:hAnsi="Times New Roman"/>
          <w:i/>
          <w:color w:val="000000"/>
          <w:kern w:val="1"/>
          <w:sz w:val="20"/>
          <w:lang w:eastAsia="en-US"/>
        </w:rPr>
        <w:t>”. (ADC 41, Relator(a):  Min. ROBERTO BARROSO, Tribunal Pleno, julgado em 08/06/2017, PROCESSO ELETRÔNICO DJe-180 DIVULG 16-08-2017 PUBLIC 17-08-2017)</w:t>
      </w:r>
    </w:p>
    <w:p w:rsidR="00F359CA" w:rsidRDefault="00F359CA" w:rsidP="008644F5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Ainda sobre a necessidade de avaliação da Autodeclaração tem-se que </w:t>
      </w:r>
      <w:r w:rsidR="003A6C72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a existência de uma comissão de</w:t>
      </w:r>
      <w:r w:rsidRPr="00F359CA"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 heteroidentificação </w:t>
      </w:r>
      <w:r w:rsidR="003A6C72"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é um critério reconhecido como válido pelo </w:t>
      </w:r>
      <w:r w:rsidRPr="00F359CA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Supremo Tribunal Federal, em face do julgamento da Arguição de Descumprimento de Preceito Fundamental (ADPF) 186 e da Ação Declaratória de Constitucionalidade</w:t>
      </w:r>
      <w:r w:rsidR="003A6C72"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 </w:t>
      </w:r>
      <w:r w:rsidRPr="00F359CA"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(ADC) 41, a primeira sobre ações afirmativas em universidades e a segunda sobre ações afirmativas nos concursos públicos, </w:t>
      </w:r>
      <w:r w:rsidR="003A6C72"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quando se </w:t>
      </w:r>
      <w:r w:rsidRPr="00F359CA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estabeleceu que além da autodeclaração, podem ser utilizados critérios subsidiários de heteroidentificação, desde que respeitada a dignidade da pessoa humana e garantidos o contraditório e a ampla defesa. </w:t>
      </w:r>
    </w:p>
    <w:p w:rsidR="00F359CA" w:rsidRDefault="00F359CA" w:rsidP="008644F5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</w:p>
    <w:p w:rsidR="00AE24A2" w:rsidRDefault="008644F5" w:rsidP="008644F5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 w:rsidRPr="008644F5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Neste sentido</w:t>
      </w:r>
      <w:r w:rsidR="00AE24A2"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, vale destacar as cidades que já possuem legislação vigente neste: São Paulo - Lei n° 15.939/2013, Mostardas/RS - Lei n° 3.920/2019, Piracicaba - Lei n° 8.546/2016, Porto Feliz - Lei n° </w:t>
      </w:r>
      <w:r w:rsidR="000639C4">
        <w:rPr>
          <w:rFonts w:ascii="Times New Roman" w:eastAsia="Calibri" w:hAnsi="Times New Roman"/>
          <w:color w:val="000000"/>
          <w:kern w:val="1"/>
          <w:szCs w:val="24"/>
          <w:lang w:eastAsia="en-US"/>
        </w:rPr>
        <w:t>4.993/2011, dentre outras</w:t>
      </w:r>
      <w:r w:rsidR="000639C4">
        <w:rPr>
          <w:rStyle w:val="Refdenotaderodap"/>
          <w:rFonts w:ascii="Times New Roman" w:eastAsia="Calibri" w:hAnsi="Times New Roman"/>
          <w:color w:val="000000"/>
          <w:kern w:val="1"/>
          <w:szCs w:val="24"/>
          <w:lang w:eastAsia="en-US"/>
        </w:rPr>
        <w:footnoteReference w:id="1"/>
      </w:r>
    </w:p>
    <w:p w:rsidR="00F86BEE" w:rsidRDefault="00AE24A2" w:rsidP="008644F5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kern w:val="1"/>
          <w:szCs w:val="24"/>
          <w:lang w:eastAsia="en-US"/>
        </w:rPr>
      </w:pP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>Diante do exposto</w:t>
      </w:r>
      <w:r w:rsidR="008644F5" w:rsidRPr="008644F5">
        <w:rPr>
          <w:rFonts w:ascii="Times New Roman" w:eastAsia="Calibri" w:hAnsi="Times New Roman"/>
          <w:color w:val="000000"/>
          <w:kern w:val="1"/>
          <w:szCs w:val="24"/>
          <w:lang w:eastAsia="en-US"/>
        </w:rPr>
        <w:t xml:space="preserve"> é que se apresenta este projeto a fim de que Sorocaba possa efetivamente dar um importante passo ao garantir cotas para negras e negros no serviço público municipal.</w:t>
      </w:r>
    </w:p>
    <w:p w:rsidR="008644F5" w:rsidRPr="008644F5" w:rsidRDefault="008644F5" w:rsidP="008644F5">
      <w:pPr>
        <w:spacing w:line="360" w:lineRule="auto"/>
        <w:ind w:firstLine="567"/>
        <w:jc w:val="both"/>
        <w:rPr>
          <w:b/>
          <w:szCs w:val="24"/>
        </w:rPr>
      </w:pPr>
      <w:r>
        <w:rPr>
          <w:rFonts w:ascii="Times New Roman" w:eastAsia="Calibri" w:hAnsi="Times New Roman"/>
          <w:color w:val="000000"/>
          <w:kern w:val="1"/>
          <w:szCs w:val="24"/>
          <w:lang w:eastAsia="en-US"/>
        </w:rPr>
        <w:t>Sala de sessões,</w:t>
      </w:r>
    </w:p>
    <w:p w:rsidR="00A54891" w:rsidRDefault="00A54891" w:rsidP="007C3D72">
      <w:pPr>
        <w:spacing w:line="360" w:lineRule="auto"/>
        <w:rPr>
          <w:rFonts w:ascii="Times New Roman" w:hAnsi="Times New Roman"/>
          <w:szCs w:val="24"/>
        </w:rPr>
      </w:pPr>
    </w:p>
    <w:p w:rsidR="003A6C72" w:rsidRDefault="003A6C72" w:rsidP="007C3D72">
      <w:pPr>
        <w:spacing w:line="360" w:lineRule="auto"/>
        <w:rPr>
          <w:rFonts w:ascii="Times New Roman" w:hAnsi="Times New Roman"/>
          <w:szCs w:val="24"/>
        </w:rPr>
      </w:pPr>
    </w:p>
    <w:p w:rsidR="003A6C72" w:rsidRDefault="003A6C72" w:rsidP="007C3D72">
      <w:pPr>
        <w:spacing w:line="360" w:lineRule="auto"/>
        <w:rPr>
          <w:rFonts w:ascii="Times New Roman" w:hAnsi="Times New Roman"/>
          <w:szCs w:val="24"/>
        </w:rPr>
      </w:pPr>
    </w:p>
    <w:p w:rsidR="004B0F8F" w:rsidRDefault="004B0F8F" w:rsidP="004B0F8F">
      <w:pPr>
        <w:jc w:val="both"/>
        <w:rPr>
          <w:rFonts w:ascii="Times New Roman" w:hAnsi="Times New Roman"/>
          <w:szCs w:val="24"/>
        </w:rPr>
      </w:pPr>
    </w:p>
    <w:p w:rsidR="004B0F8F" w:rsidRPr="00A54891" w:rsidRDefault="00A54891" w:rsidP="004B0F8F">
      <w:pPr>
        <w:jc w:val="center"/>
        <w:rPr>
          <w:rFonts w:ascii="Times New Roman" w:hAnsi="Times New Roman"/>
          <w:b/>
          <w:szCs w:val="24"/>
        </w:rPr>
      </w:pPr>
      <w:r w:rsidRPr="00A54891">
        <w:rPr>
          <w:rFonts w:ascii="Times New Roman" w:hAnsi="Times New Roman"/>
          <w:b/>
          <w:szCs w:val="24"/>
        </w:rPr>
        <w:t>FERNANDA GARCIA</w:t>
      </w:r>
    </w:p>
    <w:p w:rsidR="007B45DB" w:rsidRPr="00FD1ED9" w:rsidRDefault="004B0F8F" w:rsidP="007C3D7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sectPr w:rsidR="007B45DB" w:rsidRPr="00FD1ED9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6F" w:rsidRDefault="00AF236F" w:rsidP="0034476D">
      <w:r>
        <w:separator/>
      </w:r>
    </w:p>
  </w:endnote>
  <w:endnote w:type="continuationSeparator" w:id="0">
    <w:p w:rsidR="00AF236F" w:rsidRDefault="00AF236F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6F" w:rsidRDefault="00AF236F" w:rsidP="0034476D">
      <w:r>
        <w:separator/>
      </w:r>
    </w:p>
  </w:footnote>
  <w:footnote w:type="continuationSeparator" w:id="0">
    <w:p w:rsidR="00AF236F" w:rsidRDefault="00AF236F" w:rsidP="0034476D">
      <w:r>
        <w:continuationSeparator/>
      </w:r>
    </w:p>
  </w:footnote>
  <w:footnote w:id="1">
    <w:p w:rsidR="000639C4" w:rsidRPr="000639C4" w:rsidRDefault="000639C4">
      <w:pPr>
        <w:pStyle w:val="Textodenotaderodap"/>
        <w:rPr>
          <w:rFonts w:ascii="Times New Roman" w:hAnsi="Times New Roman"/>
        </w:rPr>
      </w:pPr>
      <w:r w:rsidRPr="000639C4">
        <w:rPr>
          <w:rStyle w:val="Refdenotaderodap"/>
          <w:rFonts w:ascii="Times New Roman" w:hAnsi="Times New Roman"/>
        </w:rPr>
        <w:footnoteRef/>
      </w:r>
      <w:r w:rsidRPr="000639C4">
        <w:rPr>
          <w:rFonts w:ascii="Times New Roman" w:hAnsi="Times New Roman"/>
        </w:rPr>
        <w:t xml:space="preserve"> </w:t>
      </w:r>
      <w:hyperlink r:id="rId1" w:history="1">
        <w:r w:rsidRPr="000639C4">
          <w:rPr>
            <w:rStyle w:val="Hyperlink"/>
            <w:rFonts w:ascii="Times New Roman" w:hAnsi="Times New Roman"/>
            <w:color w:val="auto"/>
            <w:u w:val="none"/>
          </w:rPr>
          <w:t>http://repositorio.ipea.gov.br/bitstream/11058/7461/1/RP_Reserva_2016.pdf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4B0F8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03FCF"/>
    <w:multiLevelType w:val="hybridMultilevel"/>
    <w:tmpl w:val="48207BA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0532B"/>
    <w:rsid w:val="00013AC3"/>
    <w:rsid w:val="00015A2C"/>
    <w:rsid w:val="000347EC"/>
    <w:rsid w:val="00060AF3"/>
    <w:rsid w:val="000639C4"/>
    <w:rsid w:val="00070077"/>
    <w:rsid w:val="00086C41"/>
    <w:rsid w:val="000B1188"/>
    <w:rsid w:val="000F4A4C"/>
    <w:rsid w:val="00126585"/>
    <w:rsid w:val="00170C00"/>
    <w:rsid w:val="001E1F2A"/>
    <w:rsid w:val="00236235"/>
    <w:rsid w:val="0026174B"/>
    <w:rsid w:val="00266D40"/>
    <w:rsid w:val="002740FE"/>
    <w:rsid w:val="002C1AB2"/>
    <w:rsid w:val="002C26A5"/>
    <w:rsid w:val="002D444F"/>
    <w:rsid w:val="00302C2B"/>
    <w:rsid w:val="003076B9"/>
    <w:rsid w:val="0034476D"/>
    <w:rsid w:val="00355BCD"/>
    <w:rsid w:val="00357797"/>
    <w:rsid w:val="00366CEC"/>
    <w:rsid w:val="0037719B"/>
    <w:rsid w:val="003A6C72"/>
    <w:rsid w:val="003B40B0"/>
    <w:rsid w:val="003B5125"/>
    <w:rsid w:val="003D2073"/>
    <w:rsid w:val="003E3348"/>
    <w:rsid w:val="003F5DF7"/>
    <w:rsid w:val="00414784"/>
    <w:rsid w:val="00423D58"/>
    <w:rsid w:val="00432031"/>
    <w:rsid w:val="004331EA"/>
    <w:rsid w:val="00442924"/>
    <w:rsid w:val="004556BF"/>
    <w:rsid w:val="00465F31"/>
    <w:rsid w:val="00490CD1"/>
    <w:rsid w:val="004B0F8F"/>
    <w:rsid w:val="004C3F4F"/>
    <w:rsid w:val="004D6834"/>
    <w:rsid w:val="004F2CEB"/>
    <w:rsid w:val="00550EE0"/>
    <w:rsid w:val="006037D1"/>
    <w:rsid w:val="00612A4E"/>
    <w:rsid w:val="00624209"/>
    <w:rsid w:val="0062604A"/>
    <w:rsid w:val="00646E5F"/>
    <w:rsid w:val="00687619"/>
    <w:rsid w:val="006C3AF2"/>
    <w:rsid w:val="0070532B"/>
    <w:rsid w:val="007A1329"/>
    <w:rsid w:val="007B45DB"/>
    <w:rsid w:val="007B488D"/>
    <w:rsid w:val="007C3D72"/>
    <w:rsid w:val="007D2EAB"/>
    <w:rsid w:val="007D70F4"/>
    <w:rsid w:val="007E0E45"/>
    <w:rsid w:val="007F1FAE"/>
    <w:rsid w:val="00823BE4"/>
    <w:rsid w:val="00852B02"/>
    <w:rsid w:val="00860E6A"/>
    <w:rsid w:val="00863188"/>
    <w:rsid w:val="008644F5"/>
    <w:rsid w:val="00885D5A"/>
    <w:rsid w:val="008B277F"/>
    <w:rsid w:val="008B47BD"/>
    <w:rsid w:val="008E183C"/>
    <w:rsid w:val="008E7ECF"/>
    <w:rsid w:val="00910B9D"/>
    <w:rsid w:val="009570DC"/>
    <w:rsid w:val="00967098"/>
    <w:rsid w:val="00987584"/>
    <w:rsid w:val="009D27FD"/>
    <w:rsid w:val="009D3610"/>
    <w:rsid w:val="009F3C9B"/>
    <w:rsid w:val="00A54891"/>
    <w:rsid w:val="00A67205"/>
    <w:rsid w:val="00A7574C"/>
    <w:rsid w:val="00AE0E90"/>
    <w:rsid w:val="00AE24A2"/>
    <w:rsid w:val="00AE6D7D"/>
    <w:rsid w:val="00AF236F"/>
    <w:rsid w:val="00AF5B33"/>
    <w:rsid w:val="00B452FE"/>
    <w:rsid w:val="00BA5DD2"/>
    <w:rsid w:val="00BD2A94"/>
    <w:rsid w:val="00BD5B74"/>
    <w:rsid w:val="00BE0891"/>
    <w:rsid w:val="00BE56CF"/>
    <w:rsid w:val="00C0285D"/>
    <w:rsid w:val="00C45042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52EE0"/>
    <w:rsid w:val="00D61058"/>
    <w:rsid w:val="00DE78F5"/>
    <w:rsid w:val="00E17CD8"/>
    <w:rsid w:val="00E33C40"/>
    <w:rsid w:val="00E40646"/>
    <w:rsid w:val="00E64A26"/>
    <w:rsid w:val="00E72190"/>
    <w:rsid w:val="00E74949"/>
    <w:rsid w:val="00EB724D"/>
    <w:rsid w:val="00EC1F31"/>
    <w:rsid w:val="00EF3BEF"/>
    <w:rsid w:val="00F359CA"/>
    <w:rsid w:val="00F6142E"/>
    <w:rsid w:val="00F86BEE"/>
    <w:rsid w:val="00F87E80"/>
    <w:rsid w:val="00F95D95"/>
    <w:rsid w:val="00FD1ED9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E5EA3194-B3D9-4D11-BF3A-E4C99087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302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4147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47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414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478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C3D72"/>
    <w:pPr>
      <w:suppressAutoHyphens/>
      <w:overflowPunct/>
      <w:autoSpaceDE/>
      <w:autoSpaceDN/>
      <w:adjustRightInd/>
      <w:ind w:left="4248"/>
      <w:textAlignment w:val="auto"/>
    </w:pPr>
    <w:rPr>
      <w:rFonts w:ascii="Arial (W1)" w:hAnsi="Arial (W1)"/>
      <w:kern w:val="1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C3D72"/>
    <w:rPr>
      <w:rFonts w:ascii="Arial (W1)" w:hAnsi="Arial (W1)"/>
      <w:kern w:val="1"/>
    </w:rPr>
  </w:style>
  <w:style w:type="paragraph" w:customStyle="1" w:styleId="Default">
    <w:name w:val="Default"/>
    <w:rsid w:val="00442924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302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semiHidden/>
    <w:unhideWhenUsed/>
    <w:rsid w:val="000639C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639C4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063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positorio.ipea.gov.br/bitstream/11058/7461/1/RP_Reserva_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~1.PAT\AppData\Local\Temp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83EC5-FE9C-4A15-B5A2-A9CA0D1B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PL_GERAL.dot</Template>
  <TotalTime>1</TotalTime>
  <Pages>5</Pages>
  <Words>1286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modelos doc</dc:creator>
  <cp:lastModifiedBy>usuariogabinete</cp:lastModifiedBy>
  <cp:revision>3</cp:revision>
  <cp:lastPrinted>2017-01-02T16:09:00Z</cp:lastPrinted>
  <dcterms:created xsi:type="dcterms:W3CDTF">2020-07-03T16:51:00Z</dcterms:created>
  <dcterms:modified xsi:type="dcterms:W3CDTF">2020-07-07T13:35:00Z</dcterms:modified>
</cp:coreProperties>
</file>