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B" w:rsidRDefault="00E362A7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PROPOSTA DE EMENDA A</w:t>
      </w:r>
      <w:r w:rsidR="00853B13"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LEI ORGÂNICA MUNICIPAL Nº </w:t>
      </w:r>
      <w:bookmarkStart w:id="0" w:name="_GoBack"/>
      <w:bookmarkEnd w:id="0"/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_____</w:t>
      </w:r>
      <w:r w:rsidR="00853B13"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/2021</w:t>
      </w:r>
    </w:p>
    <w:p w:rsidR="007D4BC3" w:rsidRP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E411CB" w:rsidRDefault="00853B13" w:rsidP="00DF20B1">
      <w:pPr>
        <w:spacing w:line="360" w:lineRule="auto"/>
        <w:ind w:left="3540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"</w:t>
      </w:r>
      <w:r w:rsidR="00294C65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Acrescenta</w:t>
      </w:r>
      <w:r w:rsidR="00DF20B1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os inciso</w:t>
      </w:r>
      <w:r w:rsidR="00F035C1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s </w:t>
      </w:r>
      <w:r w:rsidR="00BB78B8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IX, X, XI, XII e XIII</w:t>
      </w:r>
      <w:r w:rsidR="00F035C1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ao artigo 164</w:t>
      </w:r>
      <w:r w:rsidR="00DF20B1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da Lei Orgânica do Município de Sorocaba,</w:t>
      </w:r>
      <w:r w:rsidR="00DF20B1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14D8D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e dá outras providências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.”</w:t>
      </w:r>
    </w:p>
    <w:p w:rsidR="007D4BC3" w:rsidRPr="007D4BC3" w:rsidRDefault="007D4BC3" w:rsidP="00DF20B1">
      <w:pPr>
        <w:spacing w:line="360" w:lineRule="auto"/>
        <w:ind w:left="3540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</w:p>
    <w:p w:rsidR="00853B13" w:rsidRPr="007D4BC3" w:rsidRDefault="00853B13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 w:history="1">
        <w:r w:rsidRPr="007D4BC3">
          <w:rPr>
            <w:rStyle w:val="Hyperlink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Lei Orgânica</w:t>
        </w:r>
      </w:hyperlink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 do Município de Sorocaba, promulga a seguinte emenda:</w:t>
      </w:r>
    </w:p>
    <w:p w:rsidR="00853B13" w:rsidRPr="007D4BC3" w:rsidRDefault="00033913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Art. 1°.</w:t>
      </w:r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>Acrescenta</w:t>
      </w:r>
      <w:proofErr w:type="gramEnd"/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</w:t>
      </w:r>
      <w:r w:rsidR="004E7383" w:rsidRPr="007D4BC3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inciso</w:t>
      </w:r>
      <w:r w:rsidR="004E7383" w:rsidRPr="007D4BC3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IX</w:t>
      </w:r>
      <w:r w:rsidR="00F945A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>X</w:t>
      </w:r>
      <w:r w:rsidR="00E362A7" w:rsidRPr="007D4BC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X</w:t>
      </w:r>
      <w:r w:rsidR="004E7383" w:rsidRPr="007D4BC3">
        <w:rPr>
          <w:rFonts w:ascii="Book Antiqua" w:hAnsi="Book Antiqua" w:cs="Times New Roman"/>
          <w:color w:val="000000" w:themeColor="text1"/>
          <w:sz w:val="24"/>
          <w:szCs w:val="24"/>
        </w:rPr>
        <w:t>I</w:t>
      </w:r>
      <w:r w:rsidR="007D4BC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362A7" w:rsidRPr="007D4BC3">
        <w:rPr>
          <w:rFonts w:ascii="Book Antiqua" w:hAnsi="Book Antiqua" w:cs="Times New Roman"/>
          <w:color w:val="000000" w:themeColor="text1"/>
          <w:sz w:val="24"/>
          <w:szCs w:val="24"/>
        </w:rPr>
        <w:t>X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>II</w:t>
      </w:r>
      <w:r w:rsidR="00715CBF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D4BC3">
        <w:rPr>
          <w:rFonts w:ascii="Book Antiqua" w:hAnsi="Book Antiqua" w:cs="Times New Roman"/>
          <w:color w:val="000000" w:themeColor="text1"/>
          <w:sz w:val="24"/>
          <w:szCs w:val="24"/>
        </w:rPr>
        <w:t>e X</w:t>
      </w:r>
      <w:r w:rsidR="00BB78B8">
        <w:rPr>
          <w:rFonts w:ascii="Book Antiqua" w:hAnsi="Book Antiqua" w:cs="Times New Roman"/>
          <w:color w:val="000000" w:themeColor="text1"/>
          <w:sz w:val="24"/>
          <w:szCs w:val="24"/>
        </w:rPr>
        <w:t>III</w:t>
      </w:r>
      <w:r w:rsid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15CBF" w:rsidRPr="007D4BC3">
        <w:rPr>
          <w:rFonts w:ascii="Book Antiqua" w:hAnsi="Book Antiqua" w:cs="Times New Roman"/>
          <w:color w:val="000000" w:themeColor="text1"/>
          <w:sz w:val="24"/>
          <w:szCs w:val="24"/>
        </w:rPr>
        <w:t>ao artigo</w:t>
      </w:r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035C1" w:rsidRPr="007D4BC3">
        <w:rPr>
          <w:rFonts w:ascii="Book Antiqua" w:hAnsi="Book Antiqua" w:cs="Times New Roman"/>
          <w:color w:val="000000" w:themeColor="text1"/>
          <w:sz w:val="24"/>
          <w:szCs w:val="24"/>
        </w:rPr>
        <w:t>164</w:t>
      </w:r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da Lei Orgânica do Município</w:t>
      </w:r>
      <w:r w:rsidR="00715CBF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Sorocaba</w:t>
      </w:r>
      <w:r w:rsidR="00853B13" w:rsidRPr="007D4BC3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</w:p>
    <w:p w:rsidR="00853B13" w:rsidRPr="007D4BC3" w:rsidRDefault="00F035C1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Art. 164</w:t>
      </w:r>
      <w:r w:rsidR="00853B13"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. </w:t>
      </w:r>
      <w:r w:rsidR="00853B13"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853B13" w:rsidRPr="007D4BC3" w:rsidRDefault="00853B13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853B13" w:rsidRPr="00BB78B8" w:rsidRDefault="00BB78B8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IX</w:t>
      </w:r>
      <w:r w:rsidR="00853B13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E6F44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E362A7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resumir a boa-fé do empreendedor</w:t>
      </w:r>
      <w:r w:rsidR="004E7383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</w:p>
    <w:p w:rsidR="00F035C1" w:rsidRPr="00BB78B8" w:rsidRDefault="00BB78B8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X</w:t>
      </w:r>
      <w:r w:rsidR="004E7383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E6F44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</w:t>
      </w:r>
      <w:r w:rsidR="00E362A7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nterferir minimamente sobre o exercício das atividades econômicas</w:t>
      </w:r>
      <w:r w:rsidR="004E7383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</w:p>
    <w:p w:rsidR="004E7383" w:rsidRPr="00BB78B8" w:rsidRDefault="00BB78B8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X</w:t>
      </w:r>
      <w:r w:rsidR="00F035C1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I</w:t>
      </w:r>
      <w:r w:rsidR="004E7383" w:rsidRPr="00BB78B8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0E6F44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d</w:t>
      </w:r>
      <w:r w:rsidR="00E362A7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isponibilizar informações claras e amplamente acessíveis quanto aos procedimentos necessários ao início, regular exercício e encerramento de um empreendimento;</w:t>
      </w:r>
    </w:p>
    <w:p w:rsidR="00E362A7" w:rsidRPr="00BB78B8" w:rsidRDefault="00E362A7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X</w:t>
      </w:r>
      <w:r w:rsidR="00BB78B8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II</w:t>
      </w: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 </w:t>
      </w:r>
      <w:r w:rsidR="000E6F44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s</w:t>
      </w: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implificar o cumprimento das obrigações tributárias acessórias</w:t>
      </w:r>
      <w:r w:rsidR="007D4BC3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;</w:t>
      </w:r>
    </w:p>
    <w:p w:rsidR="007D4BC3" w:rsidRPr="00BB78B8" w:rsidRDefault="007D4BC3" w:rsidP="00DF20B1">
      <w:pPr>
        <w:spacing w:line="360" w:lineRule="auto"/>
        <w:ind w:firstLine="708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X</w:t>
      </w:r>
      <w:r w:rsidR="00BB78B8"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>III</w:t>
      </w:r>
      <w:r w:rsidRPr="00BB78B8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 </w:t>
      </w:r>
      <w:r w:rsidRPr="00BB78B8">
        <w:rPr>
          <w:rFonts w:ascii="Book Antiqua" w:hAnsi="Book Antiqua"/>
          <w:i/>
          <w:sz w:val="24"/>
          <w:szCs w:val="24"/>
        </w:rPr>
        <w:t>priorizar os procedimentos para autorização ou licenciamento de atividade empresarial.</w:t>
      </w:r>
    </w:p>
    <w:p w:rsidR="00DF20B1" w:rsidRPr="007D4BC3" w:rsidRDefault="00DF20B1" w:rsidP="00DF20B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Art. 2º.</w:t>
      </w:r>
      <w:r w:rsidRPr="007D4BC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As despesas com a execução da presente Emenda correrão por conta de verba orçamentária própria.</w:t>
      </w:r>
    </w:p>
    <w:p w:rsidR="00E362A7" w:rsidRPr="007D4BC3" w:rsidRDefault="00DF20B1" w:rsidP="00DF20B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lastRenderedPageBreak/>
        <w:t>Art. 3º.</w:t>
      </w:r>
      <w:r w:rsidRPr="007D4BC3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Esta Emenda à Lei Orgânica entra em vigor na data da sua publicação. </w:t>
      </w:r>
    </w:p>
    <w:p w:rsidR="0088242C" w:rsidRPr="007D4BC3" w:rsidRDefault="00EE36D1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Sorocaba, 12</w:t>
      </w:r>
      <w:r w:rsidR="0088242C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="00E362A7" w:rsidRPr="007D4BC3">
        <w:rPr>
          <w:rFonts w:ascii="Book Antiqua" w:hAnsi="Book Antiqua" w:cs="Times New Roman"/>
          <w:color w:val="000000" w:themeColor="text1"/>
          <w:sz w:val="24"/>
          <w:szCs w:val="24"/>
        </w:rPr>
        <w:t>julho</w:t>
      </w:r>
      <w:r w:rsidR="0088242C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683560" w:rsidRPr="007D4BC3" w:rsidRDefault="00683560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8242C" w:rsidRPr="007D4BC3" w:rsidRDefault="0088242C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0E2540" w:rsidRDefault="0088242C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7D4BC3" w:rsidRPr="007D4BC3" w:rsidRDefault="007D4BC3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E411CB" w:rsidRPr="007D4BC3" w:rsidRDefault="00E411CB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Antes de adentrarmos aos demais pormenores das razões jurídicas, políticas e econômicas que embasam a presente proposta, frisamos que estamos trazendo à LOM, mediante simetria, dispositivos de extrema importância para Sorocaba, absolutamente ausentes em sua expressão </w:t>
      </w:r>
      <w:r w:rsidR="00254043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textual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em nossa norma maior.</w:t>
      </w:r>
    </w:p>
    <w:p w:rsidR="00E411CB" w:rsidRPr="007D4BC3" w:rsidRDefault="00E411CB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Com base no entendimento assentado pelo STF, consolidado no enunciado da Súmula n° 645, entendemos ser plenamente possível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municipalidade trazer ao âmbito local matéria constitucionalmente garantida de defesa ao sistema de livre iniciativa, respeitadas as suas limitações: "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é competente o município para fixar o horário de funcionamento de estabelecimento comercial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". No mesmo sentido, inúmeros precedentes da Corte, dentre os quais cito: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RE-AgR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n° 203.358, 2a T., unânime, Rel. Min. Maurício Corrêa, DJ 29.8.1997; RE n° 174.645, 2a T, unânime, Rel. Min. Maurício Corrêa, DJ 17.11.1997; RE n° 237.965, Pleno, unânime, Rel. Min. Moreira Alves, DJ 31.3.2000; RE n° 274.028, 1a T., unânime, Rel. Min. Moreira Alves, DJ 10.8.2001; RE n° 189.170, 2a T., maioria, Rel. Min. Marco Aurélio, DJ 8.8.2003;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AI-AgR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n° 481.886, 2a T., unânime, Rel. Min. Carlos Velloso, DJ 1.4.2005.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 Supremo Tribunal Federal, após admitir que o município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poderia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determinar o horário de funcionamento do comércio local, permitiu que este estabelecesse regras de preservação das condições benéficas de concorrência no mercado, ou seja, entendeu que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 fixação de horário de funcionamento para o comércio dentro da área municipal pode ser feita por lei local, visando o interesse do consumidor e evitando a dominação do mercado por oligopólio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” (grifos acrescentados), nos termos do RE-274.028/SP, de 05.06.2001, da lavra do Ministro Moreira Alves, conhecido e unanimemente provido pela 1ª Turma. Admitiu, reitere-se, a competência municipal para legislar sobre direito econômico, mas especificamente sobre direito da concorrência.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br/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ab/>
        <w:t>Tendo em vista que alguns autores não consideram a proteção à concorrência como parte integrante do direito econômico, posição que se for aceita comprometerá a tese aqui defendida, cumpre esclarecer melhor o enfoque dado ao assunto, a fim de que não surjam controvérsias.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O direito econômico, em face de sua juventude científica, vem sendo conceituado de diversas maneiras, consoante se enxerga seu campo de abrangência ou os objetivos a que visa alcançar. Aqui, essa disciplina será entendida tal como o fez Luís S. de Cabral Moncada, uma vez que sua teoria é a que melhor condiz aos propósitos buscados. De acordo com o autor português,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o direito econômico afirma-se fundamentalmente como o direito público que tem por objetivo o estudo das relações entre os entes públicos e os sujeitos privados, na perspectiva da intervenção do Estado na vida econômica. (...) O termo deve ser visto em sentido amplo. (...) O cerne do direito econômico passa a ser constituído por normas jurídicas de direito público. Aquele passa a configurar-se como direito público da economia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”.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Levando-se em consideração essa premissa, isto é, a de que o critério que identifica este ramo do direito é a intervenção do Estado no domínio econômico, </w:t>
      </w:r>
      <w:proofErr w:type="gramStart"/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as</w:t>
      </w:r>
      <w:proofErr w:type="gramEnd"/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 xml:space="preserve"> normas que objetam a proteção à concorrência se enquadram em seu âmbito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, porquanto se convertem em modalidade de interferência estatal, cujo escopo é viabilizar uma dada política econômica - a chamada “concorrência instrumento”. Mas a preservação da livre concorrência é mais que um instrumento de política econômica. É um dos princípios norteadores da ordem constitucional econômica, como indica o art. 174, IV, c/c o 173, § 4º, segundo o qual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 lei reprimirá o abuso do poder econômico que vise à dominação dos mercados, à eliminação da concorrência e ao aumento arbitrário dos lucros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”. Logo, as regras da concorrência servem à organização do mercado, inclusive o municipal, pressupondo-se que do seu livre funcionamento nascem as melhores condições de acesso tanto para a oferta quanto para a procura, quer dizer,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ao 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>Governo Municipal, nos limites de sua competência legislativa e administrativa, cumpre não apenas garantir a oferta da mercadoria ao consumidor, mas, indiretamente, disciplinar a atividade comercial (...)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”, conforme assevera o Relator Maurício Corrêa no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RE-174.645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-9/SP, provido por unanimidade pela 2ª Turma, em 17.11.1997, impetrado por Raia e Cia.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Ltda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contra lei e respectivo Decreto Municipal de nº 28.058/89, ambos do Município de São Paulo, que impediram sua abertura por não estar escalada para o cumprimento do plantão obrigatório.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Para tanto, deve combater as posições dominantes, entendidas como as que controlam parte significativa ou apreciável do mercado, aptas a permitir ao empresário exercer influência negativa naquele. Como o § 3º do art. 173 falou genericamente em “lei”, </w:t>
      </w: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t>pode uma lei municipal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, como a de nº 8.794/78 do Município de São Paulo.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Convém, agora, passar a uma análise sistemática do papel do município à luz da ordem econômica expressa no capítulo I do título VII da Carta Magna, tomando como ponto de partida a ressalva contida no voto do Ministro Relator Marco Aurélio no julgamento do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RE-267.161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-4/SP, não conhecido pela 2ª Turma do STF em 17.04.2001, quando também foi apreciada a fixação de horários de estabelecimentos comerciais, industriais e similares pela norma municipal supramencionada. Segundo sua percepção: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“No mérito, tem-se que o que decidido conflita com a liberdade de atuação assegurada constitucionalmente, implicando até mesmo, quanto àquelas farmácias indicadas para funcionar em plantão, verdadeira reserva de mercado, tem-se o prejuízo, com a norma aludida, do próprio consumidor. 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u w:val="single"/>
        </w:rPr>
        <w:t>Poderia a Municipalidade impor funcionamento de farmácias e drogarias, mas jamais proibir que algumas delas abrissem em certos dias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. (...) Nem se diga que a seleção de farmácias e a obrigatoriedade de abrirem em feriados, decorrem, necessariamente, de </w:t>
      </w:r>
      <w:proofErr w:type="gramStart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uma certa</w:t>
      </w:r>
      <w:proofErr w:type="gramEnd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reserva de mercado no que, sem dúvida alguma, é estimulante. De duas uma: ou a administração, em prol do interesse coletivo na área de saúde, pode compelir ao funcionamento, distribuindo o 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>sacrifício de abrir em certo dia no qual normalmente isso não ocorreria, ou não pode e, aí, neste caso, a recíproca teria que ser observada, ou seja, à administração não caberia proibir a abertura!”.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E segue tecendo considerações sobre os novos ares adquiridos (princípios) pela Carta Federal, que teriam sido ignorados pela corte de origem, lembrando também que o planejamento econômico do Estado (gênero) é apenas indicativo para o setor privado. Como visto, a Corte a que pertence o Ministro não compartilha da opinião por ele exposta quanto ao mérito do caso em questão.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br/>
        <w:t>Realmente, a Constituição garantiu a liberdade de iniciativa no art. 170. Todavia, não é um princípio absoluto, mas, apenas, um dos princípios diretores da atividade econômica. Ela somente será legítima quando exercida de acordo com os ditames da justiça social, fundamento da ordem econômica, e na medida em que não impeça a observância dos demais valores ali previstos, dentre eles, a função social da propriedade, a livre concorrência e a defesa do consumidor.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Da liberdade de iniciativa podem, assim, resultar atitudes excludentes, postas em prática pelo agente econômico com o fito de eliminar rivais, para que, então, possa monopolizar segmentos ou atividades. Daí que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 liberdade de iniciativa econômica privada, num contexto de uma Constituição preocupada com a realização da justiça social (...) não pode significar mais do que a liberdade de desenvolvimento da empresa no quadro estabelecido pelo poder público, e, portanto, possibilidade de gozar das facilidades e necessidades de submeter-se às limitações postas pelo mesmo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”. 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Destarte, aquela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será ilegítima, quando exercida com o objetivo de puro lucro e realização pessoal do empresário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”, como preleciona José Afonso da Silva, cujos ensinamentos foram reproduzidos no voto do Ministro Maurício Corrêa na oportunidade do julgamento do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RE-199.517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/SP, conhecido e não provido pelo Plenário no dia 04.06.1998. Por esse motivo, ao legislador foi admitida a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possibilidade de delimitar o conteúdo do princípio em tela, embora com a ressalva de que as restrições devem respeitar o seu núcleo essencial, de acordo com a melhor expressão do princípio da proporcionalidade.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Por conseguinte, o legislador municipal deve fazer a ponderação entre ditos valores enquanto estiver no seu âmbito de atuação, vale dizer, dentro dos seus limites territoriais, dentro de seu interesse local. Posto isso, deve-se ter em mente o seguinte: foi admitida pelo art. 30, II, a legislação supletiva do município relativamente aos temas de competência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concorrente dispostos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art. 24, o que torna viável que ele legisle sobre responsabilidade por dano ao consumidor (inc. VIII) e sobre a imposição de sanções administrativas, decorrentes do seu poder de polícia, quando produzidos possíveis danos àquele bem difuso.</w:t>
      </w:r>
    </w:p>
    <w:p w:rsidR="0051402A" w:rsidRPr="007D4BC3" w:rsidRDefault="0051402A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 que se veda ao Município, portanto, é a limitação extrema da atividade econômica lícita ou não defesa em lei, o que, certamente, violaria o preceito constitucional da livre iniciativa, bem como, deixar de cumprir com regramentos instituídos dentro da competência dos demais entes federados. </w:t>
      </w:r>
    </w:p>
    <w:p w:rsidR="0051402A" w:rsidRPr="007D4BC3" w:rsidRDefault="00254043" w:rsidP="00DF20B1">
      <w:pPr>
        <w:spacing w:line="360" w:lineRule="auto"/>
        <w:ind w:firstLine="709"/>
        <w:jc w:val="both"/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</w:pP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  <w:t>Nenhuma dest</w:t>
      </w:r>
      <w:r w:rsidR="0051402A" w:rsidRPr="007D4BC3"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  <w:t>as hipóteses, corretamente combatidas, estão</w:t>
      </w:r>
      <w:proofErr w:type="gramEnd"/>
      <w:r w:rsidR="0051402A" w:rsidRPr="007D4BC3">
        <w:rPr>
          <w:rFonts w:ascii="Book Antiqua" w:hAnsi="Book Antiqua" w:cs="Times New Roman"/>
          <w:color w:val="000000" w:themeColor="text1"/>
          <w:sz w:val="24"/>
          <w:szCs w:val="24"/>
          <w:u w:val="single"/>
        </w:rPr>
        <w:t xml:space="preserve"> sendo trazidas nesta proposta.</w:t>
      </w:r>
    </w:p>
    <w:p w:rsidR="00B073AE" w:rsidRPr="007D4BC3" w:rsidRDefault="0051402A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Assim, adentrando nos pormenores teóricos, m</w:t>
      </w:r>
      <w:r w:rsidR="00B073AE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uitos filósofos contribuíram para que o movimento pela liberdade ganhasse maiores proporções entre a população ao longo dos tempos. A luta contra os tiranos com poderes sem limites matou muitas pessoas e foi um alto preço para colocar um freio ao poder total e concentrado. A história da humanidade mostra que desde os tempos mais remotos foram criadas leis que regulavam a vida de civilizações, sejam elas escritas como os Dez Mandamentos e o Código de Hamurabi. 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 constitucionalismo quanto ao seu surgimento, nos diz em sentido estrito que se tratou de um movimento que impôs a positivação de direitos fundamentais também chamados de Direitos Humanos, que são direitos inerentes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teoria da dignidade da pessoa humana desenvolvida por Kant, onde o ponto central de seus estudos foi a liberdade e o individualismo e se baseou por sua vez no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jusnaturalismo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que é a ideia de um conjunto de direitos existentes antes da fundação de qualquer forma de Governo ou Estado, direitos esses como a vida, liberdade e propriedade.</w:t>
      </w:r>
    </w:p>
    <w:p w:rsidR="00151C21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O movimento constitucionalista está atrelado aos acontecimentos do século 18, com caráter jurídico, pois propôs a regulamentação legal com as constituições escritas. É considerado ideológico, pois exprimiu a ideologia liberal, onde o governo seria de leis baseadas na ética, e não dos homens como anteriormente. Social, pois não ficou apenas no campo ideológico, mas instigou o povo a lutar por essa ideologia contra o poder absoluto. Político, pois agiu em defesa de direitos e garantias fundamentais, contra a opressão e o arbítrio. </w:t>
      </w:r>
    </w:p>
    <w:p w:rsidR="00044F73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O constitucionalismo se opôs ao antigo regime absoluto de poder para propor a divisão desses poderes.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Os indivíduos que influenciaram esse movimento são também as que lideraram as maiores academias do século 17 e 18, a exemplo John Locke, a quem se costuma atribuir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fundação da ideologia iluminista. Ele era também um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contratualista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 lançou as bases para o liberalismo (influenciando a revolução gloriosa e a formação do parlamentarismo inglês) pela sua defesa dos direitos como a vida, a liberdade, a propriedade e a tolerância religiosa. Para ele o contrato social consistia na garantia dos direitos pelo Estado e na limitação da atuação dos governantes.</w:t>
      </w:r>
    </w:p>
    <w:p w:rsidR="00151C21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Por sua vez o século 18 foi muito influenciado por ideias iluministas e principalmente liberais. Foi o contexto perfeito para tal, pois a população estava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castigada pela pobreza, doença e desgoverno de líderes incompetentes que trouxe a ruína do absolutismo na defesa da legalidade do poder total sob uma ótica religiosa. Tais ideias influenciaram inclusive a Revolução Americana. </w:t>
      </w:r>
    </w:p>
    <w:p w:rsidR="00151C21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independência dos Estados Unidos baseou-se nas ideias iluministas, além daquelas citadas anteriormente como a participação popular na política, mais precisamente o direito a voto e a elaboração de uma constituição liberal que define a vida do país, mas que não concentra o poder em um só homem e permite a liberdade acima de tudo. </w:t>
      </w:r>
    </w:p>
    <w:p w:rsidR="007F47D0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Aqui já vemos a mais importante relação entre o constitucionalismo e o iluminismo, a positivação das ideias liberais e iluministas, configuradas em direitos fundamentais positivados por um documento que fundaria a vida em sociedade, o modelo de Estado e a forma de Estado. A guerra das Américas (independência Americana) ficou conhecida em toda Europa. Na França não foi diferente, no berço do iluminismo e das ideias de liberdade a vitória americana trouxe mais entusiasmo.</w:t>
      </w:r>
    </w:p>
    <w:p w:rsidR="00044F73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As revoluções ditas liberais como a americana e a francesa trouxeram em seu âmbito as ideias iluministas e essa, por sua vez, deu início ao movimento constitucionalista, como exemplo</w:t>
      </w:r>
      <w:r w:rsidR="006B412D" w:rsidRPr="007D4BC3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podemos destacar a Declaração dos Direitos do Home</w:t>
      </w:r>
      <w:r w:rsidR="00587F22" w:rsidRPr="007D4BC3">
        <w:rPr>
          <w:rFonts w:ascii="Book Antiqua" w:hAnsi="Book Antiqua" w:cs="Times New Roman"/>
          <w:color w:val="000000" w:themeColor="text1"/>
          <w:sz w:val="24"/>
          <w:szCs w:val="24"/>
        </w:rPr>
        <w:t>m e do Cidadão que culminou da Revolução F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rancesa trazendo em seu artigo 16 o texto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Toda a sociedade na qual não está assegurada a garantia dos direitos, nem determinada </w:t>
      </w:r>
      <w:proofErr w:type="gramStart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a</w:t>
      </w:r>
      <w:proofErr w:type="gramEnd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separação dos poderes, não tem constituição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”. Essa declaração virou uma das armas do liberalismo contra o absolutismo.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Cumpre saber que o liberalismo é toda uma doutrina baseada na defesa e cultivo das liberdades individuais, políticas, religiosas e intelectuais defendidas inicialmente pelo um dos maiores filósofos do iluminismo John Locke e em seguida por Adam Smith, além de nomes como Immanuel Kant,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Frederic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Bastiat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John Stuart Mill, Franklin D. Roosevelt, Murray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Rothbard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Milton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Friedman, Ludwig </w:t>
      </w:r>
      <w:proofErr w:type="spellStart"/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von</w:t>
      </w:r>
      <w:proofErr w:type="spellEnd"/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Mises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, Friedrich Hayek, entre vários outros; vale destacar que aqui no Brasil foi defendida com excelência por Roberto Campos.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 a declaração dos Direitos do Homem e a constituição americana, </w:t>
      </w:r>
      <w:proofErr w:type="gramStart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foi</w:t>
      </w:r>
      <w:proofErr w:type="gramEnd"/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colocada em pratica as ideias a custo de sangue, de empenho acadêmico e político. O constitucionalismo passou a ser uma técnica jurídica para a tutela das liberdades e para assegurar ao menos as prerrogativas inalienáveis ao ser humano.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</w:rPr>
        <w:t>Não à toa que a Carta Magna dispõe logo no art. 1º como fundamento da nossa República “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 xml:space="preserve">a República Federativa do Brasil, formada pela união indissolúvel dos Estados e Municípios e do Distrito Federal, constitui-se em Estado Democrático de Direito e tem como fundamentos [...] IV - os valores sociais do trabalho e </w:t>
      </w:r>
      <w:r w:rsidRPr="007D4BC3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da livre iniciativa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O art. 170 da CF/88 também nos traz importantes pilares em defesa </w:t>
      </w:r>
      <w:r w:rsidR="00151C2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da liberdade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assim dispondo: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proofErr w:type="gramStart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“A ordem econômica, fundada na valorização do trabalho humano e </w:t>
      </w:r>
      <w:r w:rsidRPr="007D4BC3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na livre iniciativa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, tem por fim assegurar a todos existência digna, conforme os ditames da justiça social, observados os seguintes princípios: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proofErr w:type="gramEnd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[...]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</w:pPr>
      <w:bookmarkStart w:id="1" w:name="art170i"/>
      <w:bookmarkStart w:id="2" w:name="art170ii"/>
      <w:bookmarkEnd w:id="1"/>
      <w:bookmarkEnd w:id="2"/>
      <w:r w:rsidRPr="007D4BC3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II - propriedade privada;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[...]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</w:pPr>
      <w:bookmarkStart w:id="3" w:name="art170iii"/>
      <w:bookmarkStart w:id="4" w:name="art170iv"/>
      <w:bookmarkEnd w:id="3"/>
      <w:bookmarkEnd w:id="4"/>
      <w:r w:rsidRPr="007D4BC3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IV - livre concorrência;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bookmarkStart w:id="5" w:name="art170v"/>
      <w:bookmarkStart w:id="6" w:name="art170p"/>
      <w:bookmarkEnd w:id="5"/>
      <w:bookmarkEnd w:id="6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[...]</w:t>
      </w:r>
    </w:p>
    <w:p w:rsidR="00B073AE" w:rsidRPr="007D4BC3" w:rsidRDefault="00B073AE" w:rsidP="00DF20B1">
      <w:pPr>
        <w:spacing w:line="360" w:lineRule="auto"/>
        <w:ind w:left="2124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 xml:space="preserve">Parágrafo único. </w:t>
      </w:r>
      <w:proofErr w:type="gramStart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É assegurado a todos o </w:t>
      </w:r>
      <w:r w:rsidRPr="007D4BC3">
        <w:rPr>
          <w:rFonts w:ascii="Book Antiqua" w:hAnsi="Book Antiqua" w:cs="Times New Roman"/>
          <w:b/>
          <w:i/>
          <w:color w:val="000000" w:themeColor="text1"/>
          <w:sz w:val="24"/>
          <w:szCs w:val="24"/>
          <w:u w:val="single"/>
        </w:rPr>
        <w:t>livre exercício de qualquer atividade econômica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</w:rPr>
        <w:t>, independentemente de autorização de órgãos públicos, salvo nos casos previstos em lei.”</w:t>
      </w:r>
      <w:proofErr w:type="gramEnd"/>
    </w:p>
    <w:p w:rsidR="00B073AE" w:rsidRPr="007D4BC3" w:rsidRDefault="00B073AE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Ocorre que, embora tenhamos na </w:t>
      </w:r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 xml:space="preserve">Lex </w:t>
      </w:r>
      <w:proofErr w:type="spellStart"/>
      <w:r w:rsidRPr="007D4BC3">
        <w:rPr>
          <w:rFonts w:ascii="Book Antiqua" w:hAnsi="Book Antiqua" w:cs="Times New Roman"/>
          <w:i/>
          <w:color w:val="000000" w:themeColor="text1"/>
          <w:sz w:val="24"/>
          <w:szCs w:val="24"/>
          <w:shd w:val="clear" w:color="auto" w:fill="FFFFFF"/>
        </w:rPr>
        <w:t>mater</w:t>
      </w:r>
      <w:proofErr w:type="spellEnd"/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da República dispositivos que embasam a livre iniciativa, livre concorrência</w:t>
      </w:r>
      <w:r w:rsidR="00151C2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, propriedade privada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e empreendedorismo, a Lei Orgânica Municipal de Sorocaba, responsável por reger nossa cidade</w:t>
      </w:r>
      <w:r w:rsidR="00151C2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por força do art. 29 da CF/88 e art. 11, parágrafo único, do ADCT, </w:t>
      </w:r>
      <w:r w:rsidR="00151C2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deixa, e muito, a</w:t>
      </w:r>
      <w:r w:rsidR="0069034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desejar, já que no Título V “Da Ordem Econômica e Social”, apenas embasa aspectos sociais, que implicam num agir do Estado e demais comprometimentos orçamentários.</w:t>
      </w:r>
    </w:p>
    <w:p w:rsidR="00690341" w:rsidRPr="007D4BC3" w:rsidRDefault="00690341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Ora, para que exista comprometimento orçamentário, deverá ocorrer arrecadação tributária, que por sua vez, decorre da produção de riquezas, que, de uma forma ou de outra, sempre tocará o empreendedorismo, livre iniciativa e </w:t>
      </w:r>
      <w:r w:rsidR="00151C21"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livre </w:t>
      </w: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concorrência.</w:t>
      </w:r>
    </w:p>
    <w:p w:rsidR="00690341" w:rsidRPr="007D4BC3" w:rsidRDefault="00690341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Ou seja, nobres pares, o social depende diretamente da economia local, que, segundo apresentado, encontra-se absolutamente desprestigiada na norma maior da municipalidade.</w:t>
      </w:r>
    </w:p>
    <w:p w:rsidR="00E411CB" w:rsidRPr="007D4BC3" w:rsidRDefault="00690341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>Tal, portanto, urge por mudança!</w:t>
      </w:r>
    </w:p>
    <w:p w:rsidR="000E6F44" w:rsidRPr="007D4BC3" w:rsidRDefault="00E411CB" w:rsidP="000E6F44">
      <w:pPr>
        <w:spacing w:line="360" w:lineRule="auto"/>
        <w:jc w:val="both"/>
        <w:rPr>
          <w:rStyle w:val="Forte"/>
          <w:rFonts w:ascii="Book Antiqua" w:hAnsi="Book Antiqua" w:cs="Times New Roman"/>
          <w:color w:val="000000" w:themeColor="text1"/>
          <w:spacing w:val="2"/>
          <w:sz w:val="24"/>
          <w:szCs w:val="24"/>
          <w:u w:val="single"/>
        </w:rPr>
      </w:pPr>
      <w:r w:rsidRPr="007D4BC3">
        <w:rPr>
          <w:rStyle w:val="Forte"/>
          <w:rFonts w:ascii="Book Antiqua" w:hAnsi="Book Antiqua" w:cs="Times New Roman"/>
          <w:color w:val="000000" w:themeColor="text1"/>
          <w:spacing w:val="2"/>
          <w:sz w:val="24"/>
          <w:szCs w:val="24"/>
        </w:rPr>
        <w:tab/>
      </w:r>
      <w:r w:rsidRPr="007D4BC3">
        <w:rPr>
          <w:rStyle w:val="Forte"/>
          <w:rFonts w:ascii="Book Antiqua" w:hAnsi="Book Antiqua" w:cs="Times New Roman"/>
          <w:color w:val="000000" w:themeColor="text1"/>
          <w:spacing w:val="2"/>
          <w:sz w:val="24"/>
          <w:szCs w:val="24"/>
          <w:u w:val="single"/>
        </w:rPr>
        <w:t>Estamos, aqui, visando proteger o livre jogo das forças do mercado na busca da clientela e defender as estratégicas da iniciativa privada para combater a crise econômica, para incrementar e aquecer as atividades econômicas em Sorocaba.</w:t>
      </w:r>
    </w:p>
    <w:p w:rsidR="000E6F44" w:rsidRPr="007D4BC3" w:rsidRDefault="000E6F44" w:rsidP="00DF20B1">
      <w:pPr>
        <w:spacing w:line="360" w:lineRule="auto"/>
        <w:jc w:val="both"/>
        <w:rPr>
          <w:rFonts w:ascii="Book Antiqua" w:hAnsi="Book Antiqua" w:cs="Times New Roman"/>
          <w:b/>
          <w:bCs/>
          <w:color w:val="000000" w:themeColor="text1"/>
          <w:spacing w:val="2"/>
          <w:sz w:val="28"/>
          <w:szCs w:val="24"/>
        </w:rPr>
      </w:pPr>
      <w:r w:rsidRPr="007D4BC3">
        <w:rPr>
          <w:rStyle w:val="Forte"/>
          <w:rFonts w:ascii="Book Antiqua" w:hAnsi="Book Antiqua" w:cs="Times New Roman"/>
          <w:color w:val="000000" w:themeColor="text1"/>
          <w:spacing w:val="2"/>
          <w:sz w:val="28"/>
          <w:szCs w:val="24"/>
        </w:rPr>
        <w:tab/>
      </w:r>
      <w:r w:rsidRPr="007D4BC3">
        <w:rPr>
          <w:rFonts w:ascii="Book Antiqua" w:hAnsi="Book Antiqua" w:cs="Arial"/>
          <w:color w:val="000000" w:themeColor="text1"/>
          <w:sz w:val="24"/>
          <w:szCs w:val="24"/>
        </w:rPr>
        <w:t xml:space="preserve">Acrescente-se, ainda, que a propositura encontra amparo na </w:t>
      </w:r>
      <w:r w:rsidRPr="007D4BC3">
        <w:rPr>
          <w:rFonts w:ascii="Book Antiqua" w:hAnsi="Book Antiqua" w:cs="Arial"/>
          <w:b/>
          <w:color w:val="000000" w:themeColor="text1"/>
          <w:sz w:val="24"/>
          <w:szCs w:val="24"/>
          <w:u w:val="single"/>
        </w:rPr>
        <w:t>Lei Federal nº 13.874, de 20 de setembro de 2019</w:t>
      </w:r>
      <w:r w:rsidRPr="007D4BC3">
        <w:rPr>
          <w:rFonts w:ascii="Book Antiqua" w:hAnsi="Book Antiqua" w:cs="Arial"/>
          <w:color w:val="000000" w:themeColor="text1"/>
          <w:sz w:val="24"/>
          <w:szCs w:val="24"/>
        </w:rPr>
        <w:t xml:space="preserve">, que ao instituir a Declaração de Direitos de Liberdade Econômica, estabeleceu normas de proteção à livre iniciativa e ao livre exercício de atividade econômica, bem como dispôs sobre a atuação do </w:t>
      </w:r>
      <w:r w:rsidRPr="007D4BC3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Estado, como agente normativo e regulador, e presume a boa-fé do empreendedor.</w:t>
      </w:r>
    </w:p>
    <w:p w:rsidR="00B073AE" w:rsidRPr="007D4BC3" w:rsidRDefault="00D53149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  <w:r w:rsidRPr="007D4BC3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A liberdade e a produção de riquezas devem ser contempladas em nossa Lei Orgânica, embasando a Magna Carta da República e legitimando a ordem jurídica local em incentivar cada dia mais o empreendedorismo no Município de Sorocaba. </w:t>
      </w:r>
    </w:p>
    <w:p w:rsidR="006819F9" w:rsidRPr="007D4BC3" w:rsidRDefault="006819F9" w:rsidP="00DF20B1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</w:rPr>
      </w:pPr>
    </w:p>
    <w:p w:rsidR="006819F9" w:rsidRPr="007D4BC3" w:rsidRDefault="00EE36D1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Sorocaba, 12</w:t>
      </w:r>
      <w:r w:rsidR="006819F9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="000E6F44" w:rsidRPr="007D4BC3">
        <w:rPr>
          <w:rFonts w:ascii="Book Antiqua" w:hAnsi="Book Antiqua" w:cs="Times New Roman"/>
          <w:color w:val="000000" w:themeColor="text1"/>
          <w:sz w:val="24"/>
          <w:szCs w:val="24"/>
        </w:rPr>
        <w:t>julho</w:t>
      </w:r>
      <w:r w:rsidR="006819F9" w:rsidRPr="007D4BC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0E6F44" w:rsidRPr="007D4BC3" w:rsidRDefault="000E6F44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819F9" w:rsidRPr="007D4BC3" w:rsidRDefault="006819F9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6819F9" w:rsidRPr="007D4BC3" w:rsidRDefault="006819F9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7D4BC3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6819F9" w:rsidRPr="007D4BC3" w:rsidRDefault="006819F9" w:rsidP="00DF20B1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B073AE" w:rsidRPr="007D4BC3" w:rsidRDefault="00B073AE" w:rsidP="00DF20B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B073AE" w:rsidRPr="007D4BC3" w:rsidSect="007965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6E" w:rsidRDefault="005D446E" w:rsidP="00762814">
      <w:pPr>
        <w:spacing w:after="0" w:line="240" w:lineRule="auto"/>
      </w:pPr>
      <w:r>
        <w:separator/>
      </w:r>
    </w:p>
  </w:endnote>
  <w:endnote w:type="continuationSeparator" w:id="0">
    <w:p w:rsidR="005D446E" w:rsidRDefault="005D446E" w:rsidP="0076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6E" w:rsidRDefault="005D446E" w:rsidP="00762814">
      <w:pPr>
        <w:spacing w:after="0" w:line="240" w:lineRule="auto"/>
      </w:pPr>
      <w:r>
        <w:separator/>
      </w:r>
    </w:p>
  </w:footnote>
  <w:footnote w:type="continuationSeparator" w:id="0">
    <w:p w:rsidR="005D446E" w:rsidRDefault="005D446E" w:rsidP="0076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4" w:rsidRPr="00762814" w:rsidRDefault="00762814" w:rsidP="00762814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-639666</wp:posOffset>
          </wp:positionH>
          <wp:positionV relativeFrom="paragraph">
            <wp:posOffset>-107674</wp:posOffset>
          </wp:positionV>
          <wp:extent cx="6691851" cy="1137037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1851" cy="1137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53B13"/>
    <w:rsid w:val="00014D8D"/>
    <w:rsid w:val="00033913"/>
    <w:rsid w:val="00044F73"/>
    <w:rsid w:val="000E2540"/>
    <w:rsid w:val="000E6F44"/>
    <w:rsid w:val="00151C21"/>
    <w:rsid w:val="001A0456"/>
    <w:rsid w:val="00254043"/>
    <w:rsid w:val="00294C65"/>
    <w:rsid w:val="002E2224"/>
    <w:rsid w:val="003F398C"/>
    <w:rsid w:val="004077D2"/>
    <w:rsid w:val="00455B92"/>
    <w:rsid w:val="004D2939"/>
    <w:rsid w:val="004E1A64"/>
    <w:rsid w:val="004E7383"/>
    <w:rsid w:val="0051402A"/>
    <w:rsid w:val="00587F22"/>
    <w:rsid w:val="005D446E"/>
    <w:rsid w:val="00616C8B"/>
    <w:rsid w:val="00626CA0"/>
    <w:rsid w:val="00633C74"/>
    <w:rsid w:val="006678D7"/>
    <w:rsid w:val="006819F9"/>
    <w:rsid w:val="00683560"/>
    <w:rsid w:val="00690341"/>
    <w:rsid w:val="006B412D"/>
    <w:rsid w:val="00715CBF"/>
    <w:rsid w:val="00762814"/>
    <w:rsid w:val="00796545"/>
    <w:rsid w:val="007D4BC3"/>
    <w:rsid w:val="007F47D0"/>
    <w:rsid w:val="00853B13"/>
    <w:rsid w:val="0088242C"/>
    <w:rsid w:val="008C129D"/>
    <w:rsid w:val="0091509C"/>
    <w:rsid w:val="00A37636"/>
    <w:rsid w:val="00A47E80"/>
    <w:rsid w:val="00AA4E79"/>
    <w:rsid w:val="00B073AE"/>
    <w:rsid w:val="00BB78B8"/>
    <w:rsid w:val="00C70BD3"/>
    <w:rsid w:val="00D53149"/>
    <w:rsid w:val="00DF20B1"/>
    <w:rsid w:val="00E066C6"/>
    <w:rsid w:val="00E35A96"/>
    <w:rsid w:val="00E362A7"/>
    <w:rsid w:val="00E411CB"/>
    <w:rsid w:val="00E47ED9"/>
    <w:rsid w:val="00EE36D1"/>
    <w:rsid w:val="00F035C1"/>
    <w:rsid w:val="00F11158"/>
    <w:rsid w:val="00F30A4F"/>
    <w:rsid w:val="00F6495E"/>
    <w:rsid w:val="00F93934"/>
    <w:rsid w:val="00F945A3"/>
    <w:rsid w:val="00FC0305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3B13"/>
    <w:rPr>
      <w:color w:val="0000FF"/>
      <w:u w:val="single"/>
    </w:rPr>
  </w:style>
  <w:style w:type="paragraph" w:customStyle="1" w:styleId="Default">
    <w:name w:val="Default"/>
    <w:rsid w:val="0085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E73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814"/>
  </w:style>
  <w:style w:type="paragraph" w:styleId="Rodap">
    <w:name w:val="footer"/>
    <w:basedOn w:val="Normal"/>
    <w:link w:val="Rodap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814"/>
  </w:style>
  <w:style w:type="character" w:styleId="Forte">
    <w:name w:val="Strong"/>
    <w:uiPriority w:val="22"/>
    <w:qFormat/>
    <w:rsid w:val="00E411CB"/>
    <w:rPr>
      <w:b/>
      <w:bCs/>
    </w:rPr>
  </w:style>
  <w:style w:type="paragraph" w:styleId="Recuodecorpodetexto2">
    <w:name w:val="Body Text Indent 2"/>
    <w:basedOn w:val="Normal"/>
    <w:link w:val="Recuodecorpodetexto2Char"/>
    <w:rsid w:val="000E6F44"/>
    <w:pPr>
      <w:spacing w:after="0" w:line="360" w:lineRule="auto"/>
      <w:ind w:firstLine="3969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E6F44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2816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gabinete05</cp:lastModifiedBy>
  <cp:revision>7</cp:revision>
  <dcterms:created xsi:type="dcterms:W3CDTF">2021-07-06T12:08:00Z</dcterms:created>
  <dcterms:modified xsi:type="dcterms:W3CDTF">2021-07-12T15:11:00Z</dcterms:modified>
</cp:coreProperties>
</file>