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3" w:rsidRPr="00D468A5" w:rsidRDefault="00016FCA" w:rsidP="00D468A5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</w:pPr>
      <w:bookmarkStart w:id="0" w:name="_gjdgxs" w:colFirst="0" w:colLast="0"/>
      <w:bookmarkEnd w:id="0"/>
      <w:r w:rsidRPr="00D468A5"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  <w:t>PROJETO DE LEI Nº _______________________________ / 2021</w:t>
      </w:r>
    </w:p>
    <w:p w:rsidR="00EF11A3" w:rsidRPr="00D468A5" w:rsidRDefault="00EF11A3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</w:pPr>
    </w:p>
    <w:p w:rsidR="00EF11A3" w:rsidRPr="00D468A5" w:rsidRDefault="00016FCA" w:rsidP="00D468A5">
      <w:pPr>
        <w:pStyle w:val="normal0"/>
        <w:spacing w:line="360" w:lineRule="auto"/>
        <w:ind w:left="3540"/>
        <w:jc w:val="both"/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>“Altera a Lei Municipal nº 9.672, de 20 de julho de 2011, e dá outras providências.”</w:t>
      </w:r>
    </w:p>
    <w:p w:rsidR="00EF11A3" w:rsidRPr="00D468A5" w:rsidRDefault="00EF11A3" w:rsidP="00D468A5">
      <w:pPr>
        <w:pStyle w:val="normal0"/>
        <w:spacing w:line="360" w:lineRule="auto"/>
        <w:ind w:left="3540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  <w:t>Art. 1º.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O artigo 1º da Lei Municipal nº 9.672, de 20 de julho de 2011, passa a vigorar com a seguinte redação: 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 xml:space="preserve">Art. 1º. 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>Esta Lei estabelece medidas de incentivo à inovação tecnológica, à pesquisa científica e tecnológica, ao desenvolvimento tecnológico, à enge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 xml:space="preserve">nharia </w:t>
      </w:r>
      <w:proofErr w:type="spellStart"/>
      <w:proofErr w:type="gramStart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>não-rotineira</w:t>
      </w:r>
      <w:proofErr w:type="spellEnd"/>
      <w:proofErr w:type="gramEnd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 xml:space="preserve">, à informação tecnológica e à extensão tecnológica em ambiente produtivo ou social, visando alcançar a capacitação e o desenvolvimento industrial e tecnológico internacionalmente competitivo do município de Sorocaba, nos termos dos </w:t>
      </w:r>
      <w:proofErr w:type="spellStart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>Art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>s</w:t>
      </w:r>
      <w:proofErr w:type="spellEnd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 xml:space="preserve">. 218 e 219 da Constituição da Federal, dos </w:t>
      </w:r>
      <w:proofErr w:type="spellStart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>Arts</w:t>
      </w:r>
      <w:proofErr w:type="spellEnd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 xml:space="preserve">. 268 a 272 da Constituição do Estado de São Paulo, dos </w:t>
      </w:r>
      <w:proofErr w:type="spellStart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>Arts</w:t>
      </w:r>
      <w:proofErr w:type="spellEnd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 xml:space="preserve">. 122 a 127 e 163 a 166 da </w:t>
      </w:r>
      <w:hyperlink r:id="rId7">
        <w:r w:rsidRPr="00D468A5">
          <w:rPr>
            <w:rFonts w:ascii="Book Antiqua" w:eastAsia="Book Antiqua" w:hAnsi="Book Antiqua" w:cs="Book Antiqua"/>
            <w:i/>
            <w:color w:val="000000" w:themeColor="text1"/>
            <w:sz w:val="24"/>
            <w:szCs w:val="24"/>
            <w:highlight w:val="white"/>
          </w:rPr>
          <w:t>Lei Orgânica</w:t>
        </w:r>
      </w:hyperlink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 xml:space="preserve"> do Município de Sorocaba, das dispo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 xml:space="preserve">sições da Lei Federal nº 10.973, de </w:t>
      </w:r>
      <w:proofErr w:type="gramStart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>2</w:t>
      </w:r>
      <w:proofErr w:type="gramEnd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  <w:highlight w:val="white"/>
        </w:rPr>
        <w:t xml:space="preserve"> de dezembro de 2004, da Lei Complementar Federal nº 182, de 1º de junho de 2021, e da Lei Complementar nº 1.049, de 19 de junho de 2008 do Estado de São Paulo.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Art. 2º 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Acrescenta os incisos XXII, XXIII, XXIV e XXV ao artigo 2º da Lei Municipal nº 9.672/2011: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>Art. 2º [...]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  <w:t>[...]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  <w:t>XXII - Startups: organizações empresariais ou societárias, nascentes ou em operação recente, cuja atuação caracteriza-se pela inovação apli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 xml:space="preserve">cada </w:t>
      </w:r>
      <w:proofErr w:type="gramStart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>a</w:t>
      </w:r>
      <w:proofErr w:type="gramEnd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 xml:space="preserve"> modelo de negócios ou a produtos ou serviços ofertados, conforme características definidas pela Lei Complementar Federal nº 182, de 1º de junho de 2021;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lastRenderedPageBreak/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  <w:t xml:space="preserve">XXIII - Encomenda Tecnológica: instrumento de compra pública de inovação, por meio do qual os 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>órgãos e as entidades da administração pública poderão contratar diretamente Instituição Científica, Tecnológica e de Inovação - ICT pública ou privada, entidades de direito privado sem fins lucrativos ou empresas, isoladamente ou em consórcio, voltadas pa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 xml:space="preserve">ra atividades de pesquisa e de reconhecida capacitação tecnológica no setor, com vistas à realização de atividades de pesquisa, desenvolvimento e inovação que </w:t>
      </w:r>
      <w:proofErr w:type="gramStart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>envolvam</w:t>
      </w:r>
      <w:proofErr w:type="gramEnd"/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 xml:space="preserve"> risco tecnológico, para solução de problema técnico específico ou obtenção de produto, s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>erviço ou processo inovador, na forma definida na Lei Federal nº 13.243, de 11 de janeiro de 2016, e Decreto Federal nº 9.283, de 7 de fevereiro de 2018;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  <w:t xml:space="preserve">XXIV - Bônus Tecnológico: subvenção a microempresas e a empresas de pequeno e médio porte, com base 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>em dotações orçamentárias de órgãos e entidades da administração pública, destinada ao pagamento de compartilhamento e ao uso de infraestrutura de pesquisa e desenvolvimento tecnológicos, de contratação de serviços tecnológicos especializados ou de transfe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>rência de tecnologia, quando esta for meramente complementar àqueles serviços, na forma definida no art. 26 do Decreto Federal nº 9.283/2018;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  <w:t>XXV - Laboratório de produção: laboratórios para a realização de cursos e oficinas práticas de prototipagem, pro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>gramação, robótica e demais técnicas ou conhecimentos necessários para o desenvolvimento de produtos tecnológicos.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Art. 3º 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Acrescenta o inciso V ao artigo 3º da Lei Municipal nº 9.672/2011: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>Art. 3º [...]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  <w:t>[...]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  <w:t>V - à pesquisa e o aprimoramento de pr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>odutos, serviços e processos inovadores em empresas startups e entidades de direito privado sem fins lucrativos, bem como em laboratórios de produção.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lastRenderedPageBreak/>
        <w:tab/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Art. 4º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Acrescenta o parágrafo único ao art. 23 da Lei Municipal nº 9.672/2011: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>Art. 23 [...]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  <w:t>Parág</w:t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>rafo único: A promoção e o incentivo ao desenvolvimento de empresas startups poderão ser fornecidos por meio de bônus tecnológico, bolsas de apoio ou encomendas tecnológicas.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i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Art. 5º 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O Poder Executivo poderá regulamentar a presente Lei no que couber.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A</w:t>
      </w: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rt. 6º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As despesas com a execução da presente Lei correrão por conta de verba orçamentária própria.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Art. 7º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Esta Lei entra em vigor na data de sua publicação.</w:t>
      </w:r>
    </w:p>
    <w:p w:rsidR="00EF11A3" w:rsidRPr="00D468A5" w:rsidRDefault="00EF11A3" w:rsidP="00D468A5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</w:p>
    <w:p w:rsidR="00EF11A3" w:rsidRPr="00D468A5" w:rsidRDefault="00016FCA" w:rsidP="00D468A5">
      <w:pPr>
        <w:pStyle w:val="normal0"/>
        <w:spacing w:line="360" w:lineRule="auto"/>
        <w:jc w:val="center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Sorocaba, 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27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de 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setembro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de 2021.</w:t>
      </w:r>
    </w:p>
    <w:p w:rsidR="00EF11A3" w:rsidRPr="00D468A5" w:rsidRDefault="00EF11A3" w:rsidP="00D468A5">
      <w:pPr>
        <w:pStyle w:val="normal0"/>
        <w:spacing w:line="360" w:lineRule="auto"/>
        <w:jc w:val="center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EF11A3" w:rsidRPr="00D468A5" w:rsidRDefault="00016FCA" w:rsidP="00D468A5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Ítalo Moreira</w:t>
      </w:r>
    </w:p>
    <w:p w:rsidR="00EF11A3" w:rsidRPr="00D468A5" w:rsidRDefault="00016FCA" w:rsidP="00D468A5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Vereador</w:t>
      </w:r>
    </w:p>
    <w:p w:rsidR="00EF11A3" w:rsidRPr="00D468A5" w:rsidRDefault="00EF11A3" w:rsidP="00D468A5">
      <w:pPr>
        <w:pStyle w:val="normal0"/>
        <w:spacing w:line="360" w:lineRule="auto"/>
        <w:ind w:firstLine="708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EF11A3" w:rsidRPr="00D468A5" w:rsidRDefault="00EF11A3" w:rsidP="00D468A5">
      <w:pPr>
        <w:pStyle w:val="normal0"/>
        <w:spacing w:line="360" w:lineRule="auto"/>
        <w:ind w:firstLine="708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EF11A3" w:rsidRPr="00D468A5" w:rsidRDefault="00EF11A3" w:rsidP="00D468A5">
      <w:pPr>
        <w:pStyle w:val="normal0"/>
        <w:spacing w:line="360" w:lineRule="auto"/>
        <w:ind w:firstLine="708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EF11A3" w:rsidRDefault="00EF11A3">
      <w:pPr>
        <w:pStyle w:val="normal0"/>
        <w:spacing w:line="360" w:lineRule="auto"/>
        <w:ind w:firstLine="708"/>
        <w:jc w:val="both"/>
        <w:rPr>
          <w:b/>
          <w:sz w:val="24"/>
          <w:szCs w:val="24"/>
        </w:rPr>
      </w:pPr>
    </w:p>
    <w:p w:rsidR="00EF11A3" w:rsidRDefault="00EF11A3">
      <w:pPr>
        <w:pStyle w:val="normal0"/>
        <w:spacing w:line="360" w:lineRule="auto"/>
        <w:ind w:firstLine="708"/>
        <w:jc w:val="both"/>
        <w:rPr>
          <w:b/>
          <w:sz w:val="24"/>
          <w:szCs w:val="24"/>
        </w:rPr>
      </w:pPr>
    </w:p>
    <w:p w:rsidR="00EF11A3" w:rsidRDefault="00EF11A3">
      <w:pPr>
        <w:pStyle w:val="normal0"/>
        <w:spacing w:line="360" w:lineRule="auto"/>
        <w:jc w:val="both"/>
        <w:rPr>
          <w:b/>
          <w:color w:val="000000"/>
          <w:sz w:val="24"/>
          <w:szCs w:val="24"/>
        </w:rPr>
      </w:pPr>
    </w:p>
    <w:p w:rsidR="00D468A5" w:rsidRDefault="00D468A5">
      <w:pPr>
        <w:pStyle w:val="normal0"/>
        <w:spacing w:line="360" w:lineRule="auto"/>
        <w:jc w:val="both"/>
        <w:rPr>
          <w:b/>
          <w:color w:val="000000"/>
          <w:sz w:val="24"/>
          <w:szCs w:val="24"/>
        </w:rPr>
      </w:pP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  <w:lastRenderedPageBreak/>
        <w:t>Justificativa:</w:t>
      </w:r>
    </w:p>
    <w:p w:rsidR="00EF11A3" w:rsidRPr="00D468A5" w:rsidRDefault="00D468A5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 w:rsidR="00016FCA"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O presente projeto de lei tem como principal objetivo atualizar a Lei Municipal nº 9.672/2011 (Lei de Inovação) com os ditames e conceitos trazidos recentemente pela Lei Complementar Federal nº 182/2021.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  <w:t>O escopo é trazer maior segurança jurídica ao nosso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Município para potencializar o desenvolvimento de empresas startups, pautando-se primordialmente no Marco Legal </w:t>
      </w:r>
      <w:proofErr w:type="gram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das Startups</w:t>
      </w:r>
      <w:proofErr w:type="gram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 do Empreendedorismo Inovador. Trazemos também relevantes conceituações estabelecidas na Lei Federal nº 13.243/2016, que trata so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bre os estímulos ao desenvolvimento científico e à pesquisa, e no seu Decreto regulamentador nº 9.283/2018.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  <w:t xml:space="preserve">A presente alteração à Lei de Inovação de Sorocaba, prioriza o incentivo à pesquisa, o desenvolvimento e à inovação </w:t>
      </w:r>
      <w:proofErr w:type="gram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das startups</w:t>
      </w:r>
      <w:proofErr w:type="gram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em nossa cidade, f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ocando no desenvolvimento econômico e social sustentável advindo da efetiva implantação do conhecimento, tecnologia e inovação como sua base. 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Deste projeto decorre a modernização das instituições, dos serviços públicos, das empresas e organizações sociais, melhorando a competitividade entre as empresas locais e tornando Sorocaba um ecossistema atrativo para que empresas para cá migrem ou surjam,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potencializando a geração de empregos, rendas e arrecadação para o poder público.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  <w:t xml:space="preserve">Sorocaba é um Município inovador e empreendedor, que vem ganhando repercussão nacional no cenário de startups. Recentemente, o jornal Cruzeiro do Sul divulgou que a </w:t>
      </w:r>
      <w:proofErr w:type="spellStart"/>
      <w:proofErr w:type="gram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PiCode</w:t>
      </w:r>
      <w:proofErr w:type="spellEnd"/>
      <w:proofErr w:type="gram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Education</w:t>
      </w:r>
      <w:proofErr w:type="spell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, </w:t>
      </w:r>
      <w:proofErr w:type="spell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edtech</w:t>
      </w:r>
      <w:proofErr w:type="spell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fundada pelo sorocabano Lucas </w:t>
      </w:r>
      <w:proofErr w:type="spell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Piovani</w:t>
      </w:r>
      <w:proofErr w:type="spell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, de 23 anos, foi vencedora da Etapa Conexão do Ciclo 2021 do </w:t>
      </w:r>
      <w:proofErr w:type="spell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InovAtiva</w:t>
      </w:r>
      <w:proofErr w:type="spell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, maior programa de aceleração da América Latina. Para cada edição (são duas no ano), são selecionados negócios inovadores de todo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s os segmentos. A </w:t>
      </w:r>
      <w:proofErr w:type="spellStart"/>
      <w:proofErr w:type="gram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PiCode</w:t>
      </w:r>
      <w:proofErr w:type="spellEnd"/>
      <w:proofErr w:type="gram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Education</w:t>
      </w:r>
      <w:proofErr w:type="spell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, que está localizada no Parque Tecnológico de Sorocaba (PTS), é uma empresa focada em soluções e ferramentas voltadas à educação.</w:t>
      </w:r>
    </w:p>
    <w:p w:rsidR="00EF11A3" w:rsidRPr="00D468A5" w:rsidRDefault="00016FCA" w:rsidP="00D468A5">
      <w:pPr>
        <w:pStyle w:val="normal0"/>
        <w:spacing w:line="360" w:lineRule="auto"/>
        <w:ind w:firstLine="72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lastRenderedPageBreak/>
        <w:t xml:space="preserve">De acordo com a </w:t>
      </w:r>
      <w:proofErr w:type="spellStart"/>
      <w:proofErr w:type="gram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ABStartups</w:t>
      </w:r>
      <w:proofErr w:type="spellEnd"/>
      <w:proofErr w:type="gram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, a maior parte das startups de Sorocaba são modelos de negócios 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de serviços (53,8%); depois aparecem de </w:t>
      </w:r>
      <w:proofErr w:type="spell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marketplace</w:t>
      </w:r>
      <w:proofErr w:type="spell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(23,1%), outros (11,5%), </w:t>
      </w:r>
      <w:proofErr w:type="spell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consumer</w:t>
      </w:r>
      <w:proofErr w:type="spell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(3,85%), e-commerce (3,85%) e hardware (3,85%). Já em relação ao perfil dos empreendedores da cidade, a faixa etária varia entre 18 a 40 anos, e as empresas têm, em sua m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aioria, cerca de três anos.</w:t>
      </w:r>
    </w:p>
    <w:p w:rsidR="00EF11A3" w:rsidRPr="00D468A5" w:rsidRDefault="00016FCA" w:rsidP="00D468A5">
      <w:pPr>
        <w:pStyle w:val="normal0"/>
        <w:spacing w:line="360" w:lineRule="auto"/>
        <w:ind w:firstLine="72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Há alguns anos atrás, a SEIP </w:t>
      </w:r>
      <w:proofErr w:type="gram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7</w:t>
      </w:r>
      <w:proofErr w:type="gram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, startup acelerada pelo PTS (Parque Tecnológico de Sorocaba), ficou em segundo lugar na categoria </w:t>
      </w:r>
      <w:proofErr w:type="spell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biotech</w:t>
      </w:r>
      <w:proofErr w:type="spell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no 100 Open Startups, ranking que destaca as empresas mais atraentes para o mercado corpora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tivo e as líderes mais engajadas no ecossistema de inovação. O reconhecimento foi conquistado por meio do Projeto DWS, desenvolvido em parceria com a Universidade de Birmingham (Inglaterra) e com o apoio do </w:t>
      </w:r>
      <w:proofErr w:type="spell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Innovate</w:t>
      </w:r>
      <w:proofErr w:type="spell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UK, agência de inovação do Reino Unido. 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Trata-se de um sistema que retira poluentes da água, mesmo depois de ela tratada.</w:t>
      </w:r>
    </w:p>
    <w:p w:rsidR="00EF11A3" w:rsidRPr="00D468A5" w:rsidRDefault="00016FCA" w:rsidP="00D468A5">
      <w:pPr>
        <w:pStyle w:val="normal0"/>
        <w:spacing w:line="360" w:lineRule="auto"/>
        <w:ind w:firstLine="72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Ou seja, nossa cidade já detém um ecossistema extremamente favorável para despontar nacionalmente, faltando apenas maior segurança jurídica e o estabelecimento de políticas p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úblicas voltadas ao segmento. </w:t>
      </w:r>
    </w:p>
    <w:p w:rsidR="00EF11A3" w:rsidRPr="00D468A5" w:rsidRDefault="00016FCA" w:rsidP="00D468A5">
      <w:pPr>
        <w:pStyle w:val="normal0"/>
        <w:spacing w:line="360" w:lineRule="auto"/>
        <w:ind w:firstLine="72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Inserir o Município de Sorocaba na tendência mundial de apoio e incentivo ao desenvolvimento de empresas startups de classe mundial é de alta relevância, já que são empresas que se diferenciam no aspecto inovador e no potenci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al de mudar a curva de uma economia. Elas trabalham em condições de extrema incerteza e ao mesmo tempo apresentam alta probabilidade de crescimento significativo em pouco tempo. Essas características tornam o investimento nessa modalidade extremamente atra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tivo.</w:t>
      </w:r>
    </w:p>
    <w:p w:rsidR="00EF11A3" w:rsidRPr="00D468A5" w:rsidRDefault="00016FCA" w:rsidP="00D468A5">
      <w:pPr>
        <w:pStyle w:val="normal0"/>
        <w:shd w:val="clear" w:color="auto" w:fill="FFFFFF"/>
        <w:spacing w:after="0" w:line="360" w:lineRule="auto"/>
        <w:ind w:firstLine="72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As vantagens para nossa cidade são o estímulo à criação de um círculo virtuoso de mais criatividade, inovação e competitividade à economia. E as empresas que atingem o ápice desta trajetória mais do que compensam as perdas com as empresas que não obt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iveram sucesso na execução dos seus planos de negócios.</w:t>
      </w:r>
    </w:p>
    <w:p w:rsidR="00EF11A3" w:rsidRPr="00D468A5" w:rsidRDefault="00016FCA" w:rsidP="00D468A5">
      <w:pPr>
        <w:pStyle w:val="normal0"/>
        <w:shd w:val="clear" w:color="auto" w:fill="FFFFFF"/>
        <w:spacing w:after="0" w:line="360" w:lineRule="auto"/>
        <w:ind w:firstLine="72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lastRenderedPageBreak/>
        <w:t xml:space="preserve">Assim como a apresentação do projeto de lei 221/2021 fez de Campinas uma cidade pioneira, já que foi a primeira do Brasil a se adequar ao Marco Legal </w:t>
      </w:r>
      <w:proofErr w:type="gramStart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das Startups</w:t>
      </w:r>
      <w:proofErr w:type="gramEnd"/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e Empreendedorismo Inovador instituíd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o pela Lei Federal 182/ 2021, de 1º de junho de 2021, nós estamos, através deste projeto, colocando Sorocaba no seu merecido lugar de cidade empreendedora e inovadora, dando segurança jurídica para que, num futuro não tão distante, possamos nos tornar um e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cossistema favorável aos novos modelos de negócios.</w:t>
      </w:r>
    </w:p>
    <w:p w:rsidR="00EF11A3" w:rsidRPr="00D468A5" w:rsidRDefault="00016FCA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  <w:t>Diante disso, pelos motivos acima apresentados e por objetivar o interesse público geral, espero contar com o voto favorável dos nobres pares a presente propositura.</w:t>
      </w:r>
    </w:p>
    <w:p w:rsidR="00EF11A3" w:rsidRPr="00D468A5" w:rsidRDefault="00EF11A3" w:rsidP="00D468A5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EF11A3" w:rsidRPr="00D468A5" w:rsidRDefault="00016FCA" w:rsidP="00D468A5">
      <w:pPr>
        <w:pStyle w:val="normal0"/>
        <w:spacing w:line="360" w:lineRule="auto"/>
        <w:jc w:val="center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Sorocaba, 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27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de 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setembro</w:t>
      </w:r>
      <w:r w:rsidRPr="00D468A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de 2021.</w:t>
      </w:r>
    </w:p>
    <w:p w:rsidR="00EF11A3" w:rsidRPr="00D468A5" w:rsidRDefault="00016FCA" w:rsidP="00D468A5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Ítalo Moreira</w:t>
      </w:r>
    </w:p>
    <w:p w:rsidR="00EF11A3" w:rsidRPr="00D468A5" w:rsidRDefault="00016FCA" w:rsidP="00D468A5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D468A5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Vereador</w:t>
      </w:r>
    </w:p>
    <w:sectPr w:rsidR="00EF11A3" w:rsidRPr="00D468A5" w:rsidSect="00EF11A3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CA" w:rsidRDefault="00016FCA" w:rsidP="00EF11A3">
      <w:pPr>
        <w:spacing w:after="0" w:line="240" w:lineRule="auto"/>
      </w:pPr>
      <w:r>
        <w:separator/>
      </w:r>
    </w:p>
  </w:endnote>
  <w:endnote w:type="continuationSeparator" w:id="0">
    <w:p w:rsidR="00016FCA" w:rsidRDefault="00016FCA" w:rsidP="00EF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CA" w:rsidRDefault="00016FCA" w:rsidP="00EF11A3">
      <w:pPr>
        <w:spacing w:after="0" w:line="240" w:lineRule="auto"/>
      </w:pPr>
      <w:r>
        <w:separator/>
      </w:r>
    </w:p>
  </w:footnote>
  <w:footnote w:type="continuationSeparator" w:id="0">
    <w:p w:rsidR="00016FCA" w:rsidRDefault="00016FCA" w:rsidP="00EF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A3" w:rsidRDefault="00016FC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33350" distR="114300" simplePos="0" relativeHeight="251658240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-78105</wp:posOffset>
          </wp:positionV>
          <wp:extent cx="6686550" cy="1133475"/>
          <wp:effectExtent l="19050" t="0" r="0" b="0"/>
          <wp:wrapSquare wrapText="bothSides"/>
          <wp:docPr id="1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11A3"/>
    <w:rsid w:val="00016FCA"/>
    <w:rsid w:val="00D468A5"/>
    <w:rsid w:val="00EF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EF11A3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0"/>
    <w:next w:val="normal0"/>
    <w:rsid w:val="00EF11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F11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F11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F11A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F11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F11A3"/>
  </w:style>
  <w:style w:type="table" w:customStyle="1" w:styleId="TableNormal">
    <w:name w:val="Table Normal"/>
    <w:rsid w:val="00EF11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F11A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EF11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D46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68A5"/>
  </w:style>
  <w:style w:type="paragraph" w:styleId="Rodap">
    <w:name w:val="footer"/>
    <w:basedOn w:val="Normal"/>
    <w:link w:val="RodapChar"/>
    <w:uiPriority w:val="99"/>
    <w:semiHidden/>
    <w:unhideWhenUsed/>
    <w:rsid w:val="00D46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468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lei-organica-sorocaba-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C17D5-24C9-4E7D-BD90-3901E5A5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dcterms:created xsi:type="dcterms:W3CDTF">2021-09-27T11:28:00Z</dcterms:created>
  <dcterms:modified xsi:type="dcterms:W3CDTF">2021-09-27T11:28:00Z</dcterms:modified>
</cp:coreProperties>
</file>