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FA" w:rsidRPr="009D7CFA" w:rsidRDefault="009D7CFA" w:rsidP="009D7CFA">
      <w:pPr>
        <w:ind w:right="760"/>
        <w:jc w:val="center"/>
        <w:rPr>
          <w:rFonts w:ascii="Arial" w:hAnsi="Arial" w:cs="Arial"/>
          <w:sz w:val="24"/>
          <w:szCs w:val="24"/>
        </w:rPr>
      </w:pPr>
    </w:p>
    <w:p w:rsidR="009D7CFA" w:rsidRPr="009D7CFA" w:rsidRDefault="00767A71" w:rsidP="009D7CFA">
      <w:pPr>
        <w:ind w:right="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</w:t>
      </w:r>
      <w:r w:rsidR="00D7149B">
        <w:rPr>
          <w:rFonts w:ascii="Arial" w:hAnsi="Arial" w:cs="Arial"/>
          <w:sz w:val="24"/>
          <w:szCs w:val="24"/>
        </w:rPr>
        <w:t xml:space="preserve">JETO DE </w:t>
      </w:r>
      <w:r w:rsidR="00B21365">
        <w:rPr>
          <w:rFonts w:ascii="Arial" w:hAnsi="Arial" w:cs="Arial"/>
          <w:sz w:val="24"/>
          <w:szCs w:val="24"/>
        </w:rPr>
        <w:t>RESOLUÇÃO</w:t>
      </w:r>
      <w:r w:rsidR="00D7149B">
        <w:rPr>
          <w:rFonts w:ascii="Arial" w:hAnsi="Arial" w:cs="Arial"/>
          <w:sz w:val="24"/>
          <w:szCs w:val="24"/>
        </w:rPr>
        <w:t xml:space="preserve"> Nº </w:t>
      </w:r>
      <w:r w:rsidR="001D7D82">
        <w:rPr>
          <w:rFonts w:ascii="Arial" w:hAnsi="Arial" w:cs="Arial"/>
          <w:sz w:val="24"/>
          <w:szCs w:val="24"/>
        </w:rPr>
        <w:t>______/ 202</w:t>
      </w:r>
      <w:r w:rsidR="004831CB">
        <w:rPr>
          <w:rFonts w:ascii="Arial" w:hAnsi="Arial" w:cs="Arial"/>
          <w:sz w:val="24"/>
          <w:szCs w:val="24"/>
        </w:rPr>
        <w:t>2</w:t>
      </w:r>
    </w:p>
    <w:p w:rsidR="009D7CFA" w:rsidRDefault="009D7CFA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C213D5" w:rsidRDefault="00C213D5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B26261" w:rsidRDefault="00B26261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99437A" w:rsidRDefault="0099437A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0A0314" w:rsidRPr="009D7CFA" w:rsidRDefault="000A0314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9D7CFA" w:rsidP="009D7CFA">
      <w:pPr>
        <w:ind w:left="3119"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>(</w:t>
      </w:r>
      <w:r w:rsidR="00376665">
        <w:rPr>
          <w:rFonts w:ascii="Arial" w:hAnsi="Arial" w:cs="Arial"/>
          <w:sz w:val="24"/>
          <w:szCs w:val="24"/>
        </w:rPr>
        <w:t xml:space="preserve">Dispõe sobre a fixação do </w:t>
      </w:r>
      <w:r w:rsidR="001D7D82">
        <w:rPr>
          <w:rFonts w:ascii="Arial" w:hAnsi="Arial" w:cs="Arial"/>
          <w:sz w:val="24"/>
          <w:szCs w:val="24"/>
        </w:rPr>
        <w:t>subsídio de Vereadores para a 19</w:t>
      </w:r>
      <w:r w:rsidR="00376665">
        <w:rPr>
          <w:rFonts w:ascii="Arial" w:hAnsi="Arial" w:cs="Arial"/>
          <w:sz w:val="24"/>
          <w:szCs w:val="24"/>
        </w:rPr>
        <w:t>ª Legislatura 202</w:t>
      </w:r>
      <w:r w:rsidR="001D7D82">
        <w:rPr>
          <w:rFonts w:ascii="Arial" w:hAnsi="Arial" w:cs="Arial"/>
          <w:sz w:val="24"/>
          <w:szCs w:val="24"/>
        </w:rPr>
        <w:t>5</w:t>
      </w:r>
      <w:r w:rsidR="00376665">
        <w:rPr>
          <w:rFonts w:ascii="Arial" w:hAnsi="Arial" w:cs="Arial"/>
          <w:sz w:val="24"/>
          <w:szCs w:val="24"/>
        </w:rPr>
        <w:t>/202</w:t>
      </w:r>
      <w:r w:rsidR="001D7D82">
        <w:rPr>
          <w:rFonts w:ascii="Arial" w:hAnsi="Arial" w:cs="Arial"/>
          <w:sz w:val="24"/>
          <w:szCs w:val="24"/>
        </w:rPr>
        <w:t>8</w:t>
      </w:r>
      <w:r w:rsidR="00376665">
        <w:rPr>
          <w:rFonts w:ascii="Arial" w:hAnsi="Arial" w:cs="Arial"/>
          <w:sz w:val="24"/>
          <w:szCs w:val="24"/>
        </w:rPr>
        <w:t>, nos termos do</w:t>
      </w:r>
      <w:r w:rsidR="000A0314">
        <w:rPr>
          <w:rFonts w:ascii="Arial" w:hAnsi="Arial" w:cs="Arial"/>
          <w:sz w:val="24"/>
          <w:szCs w:val="24"/>
        </w:rPr>
        <w:t>s</w:t>
      </w:r>
      <w:r w:rsidR="00376665">
        <w:rPr>
          <w:rFonts w:ascii="Arial" w:hAnsi="Arial" w:cs="Arial"/>
          <w:sz w:val="24"/>
          <w:szCs w:val="24"/>
        </w:rPr>
        <w:t xml:space="preserve"> artigo</w:t>
      </w:r>
      <w:r w:rsidR="000A0314">
        <w:rPr>
          <w:rFonts w:ascii="Arial" w:hAnsi="Arial" w:cs="Arial"/>
          <w:sz w:val="24"/>
          <w:szCs w:val="24"/>
        </w:rPr>
        <w:t>s 28, 29, 30 e</w:t>
      </w:r>
      <w:r w:rsidR="00376665">
        <w:rPr>
          <w:rFonts w:ascii="Arial" w:hAnsi="Arial" w:cs="Arial"/>
          <w:sz w:val="24"/>
          <w:szCs w:val="24"/>
        </w:rPr>
        <w:t xml:space="preserve"> 34, inciso III, da Lei Orgânica do Município e do artigo 29, inciso VI, alínea ‘f’, da Constituição Federal, e dá outras providências</w:t>
      </w:r>
      <w:r w:rsidRPr="009D7CFA">
        <w:rPr>
          <w:rFonts w:ascii="Arial" w:hAnsi="Arial" w:cs="Arial"/>
          <w:sz w:val="24"/>
          <w:szCs w:val="24"/>
        </w:rPr>
        <w:t>.)</w:t>
      </w:r>
    </w:p>
    <w:p w:rsidR="009D7CFA" w:rsidRDefault="009D7CFA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5E211D" w:rsidRDefault="005E211D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99437A" w:rsidRDefault="0099437A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9D7CFA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9D7CFA" w:rsidP="009D7CFA">
      <w:pPr>
        <w:ind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 xml:space="preserve">                       A Câma</w:t>
      </w:r>
      <w:r w:rsidR="000A0314">
        <w:rPr>
          <w:rFonts w:ascii="Arial" w:hAnsi="Arial" w:cs="Arial"/>
          <w:sz w:val="24"/>
          <w:szCs w:val="24"/>
        </w:rPr>
        <w:t>ra Municipal de Sorocaba resolve</w:t>
      </w:r>
      <w:r w:rsidRPr="009D7CFA">
        <w:rPr>
          <w:rFonts w:ascii="Arial" w:hAnsi="Arial" w:cs="Arial"/>
          <w:sz w:val="24"/>
          <w:szCs w:val="24"/>
        </w:rPr>
        <w:t>:</w:t>
      </w:r>
    </w:p>
    <w:p w:rsidR="00D7149B" w:rsidRDefault="00D7149B" w:rsidP="009D7CFA">
      <w:pPr>
        <w:ind w:left="360" w:right="760"/>
        <w:jc w:val="both"/>
        <w:rPr>
          <w:rFonts w:ascii="Arial" w:hAnsi="Arial" w:cs="Arial"/>
          <w:sz w:val="24"/>
          <w:szCs w:val="24"/>
        </w:rPr>
      </w:pPr>
    </w:p>
    <w:p w:rsidR="00625C9D" w:rsidRDefault="00625C9D" w:rsidP="009D7CFA">
      <w:pPr>
        <w:ind w:left="360"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Art. 1º</w:t>
      </w:r>
      <w:r w:rsidR="000A0314">
        <w:rPr>
          <w:color w:val="000000"/>
          <w:sz w:val="27"/>
          <w:szCs w:val="27"/>
          <w:shd w:val="clear" w:color="auto" w:fill="FFFFFF"/>
        </w:rPr>
        <w:t xml:space="preserve"> </w:t>
      </w:r>
      <w:r w:rsidR="00B26261">
        <w:rPr>
          <w:color w:val="000000"/>
          <w:sz w:val="27"/>
          <w:szCs w:val="27"/>
          <w:shd w:val="clear" w:color="auto" w:fill="FFFFFF"/>
        </w:rPr>
        <w:t>Fica fixado o subsídio mensal dos Vereadores</w:t>
      </w:r>
      <w:r w:rsidR="0099437A">
        <w:rPr>
          <w:color w:val="000000"/>
          <w:sz w:val="27"/>
          <w:szCs w:val="27"/>
          <w:shd w:val="clear" w:color="auto" w:fill="FFFFFF"/>
        </w:rPr>
        <w:t xml:space="preserve"> </w:t>
      </w:r>
      <w:r w:rsidR="00B26261">
        <w:rPr>
          <w:color w:val="000000"/>
          <w:sz w:val="27"/>
          <w:szCs w:val="27"/>
          <w:shd w:val="clear" w:color="auto" w:fill="FFFFFF"/>
        </w:rPr>
        <w:t xml:space="preserve">da Câmara Municipal de Sorocaba para </w:t>
      </w:r>
      <w:r w:rsidR="000A0314">
        <w:rPr>
          <w:color w:val="000000"/>
          <w:sz w:val="27"/>
          <w:szCs w:val="27"/>
          <w:shd w:val="clear" w:color="auto" w:fill="FFFFFF"/>
        </w:rPr>
        <w:t>a 1</w:t>
      </w:r>
      <w:r w:rsidR="001D7D82">
        <w:rPr>
          <w:color w:val="000000"/>
          <w:sz w:val="27"/>
          <w:szCs w:val="27"/>
          <w:shd w:val="clear" w:color="auto" w:fill="FFFFFF"/>
        </w:rPr>
        <w:t>9</w:t>
      </w:r>
      <w:r w:rsidR="000A0314">
        <w:rPr>
          <w:color w:val="000000"/>
          <w:sz w:val="27"/>
          <w:szCs w:val="27"/>
          <w:shd w:val="clear" w:color="auto" w:fill="FFFFFF"/>
        </w:rPr>
        <w:t>ª Legislatura, que se inicia em 202</w:t>
      </w:r>
      <w:r w:rsidR="001D7D82">
        <w:rPr>
          <w:color w:val="000000"/>
          <w:sz w:val="27"/>
          <w:szCs w:val="27"/>
          <w:shd w:val="clear" w:color="auto" w:fill="FFFFFF"/>
        </w:rPr>
        <w:t>5</w:t>
      </w:r>
      <w:r w:rsidR="000A0314">
        <w:rPr>
          <w:color w:val="000000"/>
          <w:sz w:val="27"/>
          <w:szCs w:val="27"/>
          <w:shd w:val="clear" w:color="auto" w:fill="FFFFFF"/>
        </w:rPr>
        <w:t>,</w:t>
      </w:r>
      <w:r w:rsidR="00B26261">
        <w:rPr>
          <w:color w:val="000000"/>
          <w:sz w:val="27"/>
          <w:szCs w:val="27"/>
          <w:shd w:val="clear" w:color="auto" w:fill="FFFFFF"/>
        </w:rPr>
        <w:t xml:space="preserve"> </w:t>
      </w:r>
      <w:r w:rsidR="000A0314">
        <w:rPr>
          <w:color w:val="000000"/>
          <w:sz w:val="27"/>
          <w:szCs w:val="27"/>
          <w:shd w:val="clear" w:color="auto" w:fill="FFFFFF"/>
        </w:rPr>
        <w:t xml:space="preserve">nos </w:t>
      </w:r>
      <w:r w:rsidR="000A0314">
        <w:rPr>
          <w:rFonts w:ascii="Arial" w:hAnsi="Arial" w:cs="Arial"/>
          <w:sz w:val="24"/>
          <w:szCs w:val="24"/>
        </w:rPr>
        <w:t>termos dos artigos 28, 29, 30 e 34, inciso III, da Lei Orgânica do Município e do artigo 29, inciso VI, alínea ‘f’, da Constituição Federal</w:t>
      </w:r>
      <w:r w:rsidR="00B26261">
        <w:rPr>
          <w:color w:val="000000"/>
          <w:sz w:val="27"/>
          <w:szCs w:val="27"/>
          <w:shd w:val="clear" w:color="auto" w:fill="FFFFFF"/>
        </w:rPr>
        <w:t>, nos seguintes valores:</w:t>
      </w:r>
    </w:p>
    <w:p w:rsidR="00B26261" w:rsidRDefault="00B26261" w:rsidP="00B26261">
      <w:pPr>
        <w:pStyle w:val="PargrafodaLista"/>
        <w:numPr>
          <w:ilvl w:val="0"/>
          <w:numId w:val="18"/>
        </w:numPr>
        <w:ind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Vereador: R$18.000,00 (dezoito mil reais);</w:t>
      </w:r>
    </w:p>
    <w:p w:rsidR="00B26261" w:rsidRPr="00B26261" w:rsidRDefault="00B26261" w:rsidP="00B26261">
      <w:pPr>
        <w:pStyle w:val="PargrafodaLista"/>
        <w:numPr>
          <w:ilvl w:val="0"/>
          <w:numId w:val="18"/>
        </w:numPr>
        <w:ind w:right="760"/>
        <w:jc w:val="both"/>
        <w:rPr>
          <w:color w:val="000000"/>
          <w:sz w:val="27"/>
          <w:szCs w:val="27"/>
          <w:shd w:val="clear" w:color="auto" w:fill="FFFFFF"/>
        </w:rPr>
      </w:pPr>
      <w:r w:rsidRPr="00B26261">
        <w:rPr>
          <w:color w:val="000000"/>
          <w:sz w:val="27"/>
          <w:szCs w:val="27"/>
          <w:shd w:val="clear" w:color="auto" w:fill="FFFFFF"/>
        </w:rPr>
        <w:t>Presidente: R$</w:t>
      </w:r>
      <w:r>
        <w:rPr>
          <w:color w:val="000000"/>
          <w:sz w:val="27"/>
          <w:szCs w:val="27"/>
          <w:shd w:val="clear" w:color="auto" w:fill="FFFFFF"/>
        </w:rPr>
        <w:t>18.9</w:t>
      </w:r>
      <w:r w:rsidR="009E20B0">
        <w:rPr>
          <w:color w:val="000000"/>
          <w:sz w:val="27"/>
          <w:szCs w:val="27"/>
          <w:shd w:val="clear" w:color="auto" w:fill="FFFFFF"/>
        </w:rPr>
        <w:t>00,00</w:t>
      </w:r>
      <w:r>
        <w:rPr>
          <w:color w:val="000000"/>
          <w:sz w:val="27"/>
          <w:szCs w:val="27"/>
          <w:shd w:val="clear" w:color="auto" w:fill="FFFFFF"/>
        </w:rPr>
        <w:t xml:space="preserve"> (dezoito mil</w:t>
      </w:r>
      <w:r w:rsidR="009E20B0">
        <w:rPr>
          <w:color w:val="000000"/>
          <w:sz w:val="27"/>
          <w:szCs w:val="27"/>
          <w:shd w:val="clear" w:color="auto" w:fill="FFFFFF"/>
        </w:rPr>
        <w:t xml:space="preserve"> e novecentos reais</w:t>
      </w:r>
      <w:r>
        <w:rPr>
          <w:color w:val="000000"/>
          <w:sz w:val="27"/>
          <w:szCs w:val="27"/>
          <w:shd w:val="clear" w:color="auto" w:fill="FFFFFF"/>
        </w:rPr>
        <w:t>).</w:t>
      </w:r>
    </w:p>
    <w:p w:rsidR="00E63B6C" w:rsidRDefault="00E63B6C" w:rsidP="000A0314">
      <w:pPr>
        <w:ind w:left="360" w:right="760"/>
        <w:jc w:val="both"/>
        <w:rPr>
          <w:rFonts w:ascii="Arial" w:hAnsi="Arial" w:cs="Arial"/>
          <w:sz w:val="24"/>
          <w:szCs w:val="24"/>
        </w:rPr>
      </w:pPr>
    </w:p>
    <w:p w:rsidR="000A0314" w:rsidRDefault="000A0314" w:rsidP="000A0314">
      <w:pPr>
        <w:ind w:left="360"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Aplica-se aos Vereadores a tese fixada pelo Supremo Tribunal Federal por ocasião da análise do Tema nº 484 de Repercussão Geral</w:t>
      </w:r>
      <w:r w:rsidR="009C0730">
        <w:rPr>
          <w:rFonts w:ascii="Arial" w:hAnsi="Arial" w:cs="Arial"/>
          <w:sz w:val="24"/>
          <w:szCs w:val="24"/>
        </w:rPr>
        <w:t>, fazendo jus ao percebimento de 13º salário</w:t>
      </w:r>
      <w:r>
        <w:rPr>
          <w:rFonts w:ascii="Arial" w:hAnsi="Arial" w:cs="Arial"/>
          <w:sz w:val="24"/>
          <w:szCs w:val="24"/>
        </w:rPr>
        <w:t>.</w:t>
      </w:r>
    </w:p>
    <w:p w:rsidR="00625C9D" w:rsidRDefault="000A0314" w:rsidP="009D7CFA">
      <w:pPr>
        <w:ind w:left="360"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Art. 3</w:t>
      </w:r>
      <w:r w:rsidR="00625C9D">
        <w:rPr>
          <w:color w:val="000000"/>
          <w:sz w:val="27"/>
          <w:szCs w:val="27"/>
          <w:shd w:val="clear" w:color="auto" w:fill="FFFFFF"/>
        </w:rPr>
        <w:t xml:space="preserve">º As despesas decorrentes </w:t>
      </w:r>
      <w:r w:rsidR="008B565D">
        <w:rPr>
          <w:color w:val="000000"/>
          <w:sz w:val="27"/>
          <w:szCs w:val="27"/>
          <w:shd w:val="clear" w:color="auto" w:fill="FFFFFF"/>
        </w:rPr>
        <w:t>d</w:t>
      </w:r>
      <w:r w:rsidR="00625C9D">
        <w:rPr>
          <w:color w:val="000000"/>
          <w:sz w:val="27"/>
          <w:szCs w:val="27"/>
          <w:shd w:val="clear" w:color="auto" w:fill="FFFFFF"/>
        </w:rPr>
        <w:t xml:space="preserve">a execução da presente </w:t>
      </w:r>
      <w:r>
        <w:rPr>
          <w:color w:val="000000"/>
          <w:sz w:val="27"/>
          <w:szCs w:val="27"/>
          <w:shd w:val="clear" w:color="auto" w:fill="FFFFFF"/>
        </w:rPr>
        <w:t>Resolução</w:t>
      </w:r>
      <w:r w:rsidR="00625C9D">
        <w:rPr>
          <w:color w:val="000000"/>
          <w:sz w:val="27"/>
          <w:szCs w:val="27"/>
          <w:shd w:val="clear" w:color="auto" w:fill="FFFFFF"/>
        </w:rPr>
        <w:t xml:space="preserve"> correrão por conta de verbas próprias consignadas no orçamento.</w:t>
      </w:r>
    </w:p>
    <w:p w:rsidR="00E63B6C" w:rsidRDefault="00E63B6C" w:rsidP="009D7CFA">
      <w:pPr>
        <w:ind w:left="360" w:right="760"/>
        <w:jc w:val="both"/>
        <w:rPr>
          <w:color w:val="000000"/>
          <w:sz w:val="27"/>
          <w:szCs w:val="27"/>
          <w:shd w:val="clear" w:color="auto" w:fill="FFFFFF"/>
        </w:rPr>
      </w:pPr>
    </w:p>
    <w:p w:rsidR="00625C9D" w:rsidRPr="00A2696B" w:rsidRDefault="000A0314" w:rsidP="009D7CFA">
      <w:pPr>
        <w:ind w:left="360"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Art. 4</w:t>
      </w:r>
      <w:r w:rsidR="00625C9D">
        <w:rPr>
          <w:color w:val="000000"/>
          <w:sz w:val="27"/>
          <w:szCs w:val="27"/>
          <w:shd w:val="clear" w:color="auto" w:fill="FFFFFF"/>
        </w:rPr>
        <w:t xml:space="preserve">º </w:t>
      </w:r>
      <w:r w:rsidR="00A2696B">
        <w:rPr>
          <w:color w:val="000000"/>
          <w:sz w:val="27"/>
          <w:szCs w:val="27"/>
          <w:shd w:val="clear" w:color="auto" w:fill="FFFFFF"/>
        </w:rPr>
        <w:t xml:space="preserve">Esta </w:t>
      </w:r>
      <w:r>
        <w:rPr>
          <w:color w:val="000000"/>
          <w:sz w:val="27"/>
          <w:szCs w:val="27"/>
          <w:shd w:val="clear" w:color="auto" w:fill="FFFFFF"/>
        </w:rPr>
        <w:t xml:space="preserve">Resolução </w:t>
      </w:r>
      <w:r w:rsidR="00A2696B">
        <w:rPr>
          <w:color w:val="000000"/>
          <w:sz w:val="27"/>
          <w:szCs w:val="27"/>
          <w:shd w:val="clear" w:color="auto" w:fill="FFFFFF"/>
        </w:rPr>
        <w:t>entra em vigor na data de sua publicação</w:t>
      </w:r>
      <w:r w:rsidR="002055C4">
        <w:rPr>
          <w:color w:val="000000"/>
          <w:sz w:val="27"/>
          <w:szCs w:val="27"/>
          <w:shd w:val="clear" w:color="auto" w:fill="FFFFFF"/>
        </w:rPr>
        <w:t>, produzindo seus efeitos a</w:t>
      </w:r>
      <w:r w:rsidR="001D7D82">
        <w:rPr>
          <w:color w:val="000000"/>
          <w:sz w:val="27"/>
          <w:szCs w:val="27"/>
          <w:shd w:val="clear" w:color="auto" w:fill="FFFFFF"/>
        </w:rPr>
        <w:t xml:space="preserve"> partir de 1º de janeiro de 2025</w:t>
      </w:r>
      <w:r w:rsidR="00A2696B" w:rsidRPr="00A2696B">
        <w:rPr>
          <w:color w:val="000000"/>
          <w:sz w:val="27"/>
          <w:szCs w:val="27"/>
          <w:shd w:val="clear" w:color="auto" w:fill="FFFFFF"/>
        </w:rPr>
        <w:t>.</w:t>
      </w:r>
    </w:p>
    <w:p w:rsidR="000E0C0E" w:rsidRDefault="000E0C0E" w:rsidP="009D7CFA">
      <w:pPr>
        <w:ind w:right="760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9D7CFA" w:rsidP="009D7CFA">
      <w:pPr>
        <w:ind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 xml:space="preserve">                                                           S.S., </w:t>
      </w:r>
      <w:r w:rsidR="00B26261">
        <w:rPr>
          <w:rFonts w:ascii="Arial" w:hAnsi="Arial" w:cs="Arial"/>
          <w:sz w:val="24"/>
          <w:szCs w:val="24"/>
        </w:rPr>
        <w:t>19</w:t>
      </w:r>
      <w:r w:rsidRPr="009D7CFA">
        <w:rPr>
          <w:rFonts w:ascii="Arial" w:hAnsi="Arial" w:cs="Arial"/>
          <w:sz w:val="24"/>
          <w:szCs w:val="24"/>
        </w:rPr>
        <w:t xml:space="preserve"> de </w:t>
      </w:r>
      <w:r w:rsidR="006D7510">
        <w:rPr>
          <w:rFonts w:ascii="Arial" w:hAnsi="Arial" w:cs="Arial"/>
          <w:sz w:val="24"/>
          <w:szCs w:val="24"/>
        </w:rPr>
        <w:t>outubro</w:t>
      </w:r>
      <w:r w:rsidR="00767A71">
        <w:rPr>
          <w:rFonts w:ascii="Arial" w:hAnsi="Arial" w:cs="Arial"/>
          <w:sz w:val="24"/>
          <w:szCs w:val="24"/>
        </w:rPr>
        <w:t xml:space="preserve"> de </w:t>
      </w:r>
      <w:r w:rsidRPr="009D7CFA">
        <w:rPr>
          <w:rFonts w:ascii="Arial" w:hAnsi="Arial" w:cs="Arial"/>
          <w:sz w:val="24"/>
          <w:szCs w:val="24"/>
        </w:rPr>
        <w:t>20</w:t>
      </w:r>
      <w:r w:rsidR="001D7D82">
        <w:rPr>
          <w:rFonts w:ascii="Arial" w:hAnsi="Arial" w:cs="Arial"/>
          <w:sz w:val="24"/>
          <w:szCs w:val="24"/>
        </w:rPr>
        <w:t>2</w:t>
      </w:r>
      <w:r w:rsidR="004831CB">
        <w:rPr>
          <w:rFonts w:ascii="Arial" w:hAnsi="Arial" w:cs="Arial"/>
          <w:sz w:val="24"/>
          <w:szCs w:val="24"/>
        </w:rPr>
        <w:t>2</w:t>
      </w:r>
      <w:r w:rsidRPr="009D7CFA">
        <w:rPr>
          <w:rFonts w:ascii="Arial" w:hAnsi="Arial" w:cs="Arial"/>
          <w:sz w:val="24"/>
          <w:szCs w:val="24"/>
        </w:rPr>
        <w:t>.</w:t>
      </w:r>
    </w:p>
    <w:p w:rsidR="009D7CFA" w:rsidRDefault="009D7CFA" w:rsidP="008C36ED">
      <w:pPr>
        <w:spacing w:after="0" w:line="240" w:lineRule="auto"/>
        <w:ind w:right="760"/>
        <w:jc w:val="both"/>
        <w:rPr>
          <w:rFonts w:ascii="Arial" w:hAnsi="Arial" w:cs="Arial"/>
          <w:sz w:val="20"/>
          <w:szCs w:val="20"/>
        </w:rPr>
      </w:pPr>
    </w:p>
    <w:p w:rsidR="006A7483" w:rsidRPr="006A7483" w:rsidRDefault="006A7483" w:rsidP="006A7483">
      <w:pPr>
        <w:jc w:val="center"/>
        <w:rPr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jc w:val="center"/>
        <w:rPr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rPr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spellStart"/>
      <w:r w:rsidRPr="001D7D82">
        <w:rPr>
          <w:rFonts w:ascii="Arial" w:hAnsi="Arial" w:cs="Arial"/>
          <w:sz w:val="24"/>
          <w:szCs w:val="24"/>
        </w:rPr>
        <w:t>Gervino</w:t>
      </w:r>
      <w:proofErr w:type="spellEnd"/>
      <w:r w:rsidRPr="001D7D82">
        <w:rPr>
          <w:rFonts w:ascii="Arial" w:hAnsi="Arial" w:cs="Arial"/>
          <w:sz w:val="24"/>
          <w:szCs w:val="24"/>
        </w:rPr>
        <w:t xml:space="preserve"> Cláudio Gonçalves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                                            Presidente</w:t>
      </w:r>
    </w:p>
    <w:p w:rsidR="001D7D82" w:rsidRPr="001D7D82" w:rsidRDefault="001D7D82" w:rsidP="001D7D82">
      <w:pPr>
        <w:spacing w:after="0" w:line="240" w:lineRule="auto"/>
        <w:rPr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Luís Santos Pereira Filho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1D7D82">
        <w:rPr>
          <w:rFonts w:ascii="Arial" w:hAnsi="Arial" w:cs="Arial"/>
          <w:sz w:val="24"/>
          <w:szCs w:val="24"/>
        </w:rPr>
        <w:t xml:space="preserve">      Fausto Salvador Peres                            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   1º Vice-Presidente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1D7D82">
        <w:rPr>
          <w:rFonts w:ascii="Arial" w:hAnsi="Arial" w:cs="Arial"/>
          <w:sz w:val="24"/>
          <w:szCs w:val="24"/>
        </w:rPr>
        <w:t xml:space="preserve">        2º Vice-Presidente               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D7D82">
        <w:rPr>
          <w:rFonts w:ascii="Arial" w:hAnsi="Arial" w:cs="Arial"/>
          <w:sz w:val="24"/>
          <w:szCs w:val="24"/>
        </w:rPr>
        <w:t xml:space="preserve">       Cícero João da Silva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1D7D82">
        <w:rPr>
          <w:rFonts w:ascii="Arial" w:hAnsi="Arial" w:cs="Arial"/>
          <w:sz w:val="24"/>
          <w:szCs w:val="24"/>
        </w:rPr>
        <w:t xml:space="preserve">                   Fábio </w:t>
      </w:r>
      <w:proofErr w:type="spellStart"/>
      <w:r w:rsidRPr="001D7D82">
        <w:rPr>
          <w:rFonts w:ascii="Arial" w:hAnsi="Arial" w:cs="Arial"/>
          <w:sz w:val="24"/>
          <w:szCs w:val="24"/>
        </w:rPr>
        <w:t>Simoa</w:t>
      </w:r>
      <w:proofErr w:type="spellEnd"/>
      <w:r w:rsidRPr="001D7D82">
        <w:rPr>
          <w:rFonts w:ascii="Arial" w:hAnsi="Arial" w:cs="Arial"/>
          <w:sz w:val="24"/>
          <w:szCs w:val="24"/>
        </w:rPr>
        <w:t xml:space="preserve"> Mendes do Carmo Leite                                    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  3º Vice-Presidente                                           1º Secretário                                                            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  João </w:t>
      </w:r>
      <w:proofErr w:type="spellStart"/>
      <w:r w:rsidRPr="001D7D82">
        <w:rPr>
          <w:rFonts w:ascii="Arial" w:hAnsi="Arial" w:cs="Arial"/>
          <w:sz w:val="24"/>
          <w:szCs w:val="24"/>
        </w:rPr>
        <w:t>Donizeti</w:t>
      </w:r>
      <w:proofErr w:type="spellEnd"/>
      <w:r w:rsidRPr="001D7D82">
        <w:rPr>
          <w:rFonts w:ascii="Arial" w:hAnsi="Arial" w:cs="Arial"/>
          <w:sz w:val="24"/>
          <w:szCs w:val="24"/>
        </w:rPr>
        <w:t xml:space="preserve"> Silvestre                          </w:t>
      </w:r>
      <w:proofErr w:type="spellStart"/>
      <w:r w:rsidRPr="001D7D82">
        <w:rPr>
          <w:rFonts w:ascii="Arial" w:hAnsi="Arial" w:cs="Arial"/>
          <w:sz w:val="24"/>
          <w:szCs w:val="24"/>
        </w:rPr>
        <w:t>Antonio</w:t>
      </w:r>
      <w:proofErr w:type="spellEnd"/>
      <w:r w:rsidRPr="001D7D82">
        <w:rPr>
          <w:rFonts w:ascii="Arial" w:hAnsi="Arial" w:cs="Arial"/>
          <w:sz w:val="24"/>
          <w:szCs w:val="24"/>
        </w:rPr>
        <w:t xml:space="preserve"> Carlos Silvano Júnior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         2º Secretário                                             3º Secretário</w:t>
      </w:r>
    </w:p>
    <w:p w:rsidR="00481A66" w:rsidRPr="001D7D82" w:rsidRDefault="00481A66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481A66" w:rsidRDefault="00481A66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AD1EDD" w:rsidRDefault="00AD1EDD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1D7D82" w:rsidRDefault="001D7D82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E63B6C" w:rsidRDefault="00E63B6C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1D7D82" w:rsidRDefault="001D7D82" w:rsidP="009D7CFA">
      <w:pPr>
        <w:ind w:left="360" w:right="760"/>
        <w:jc w:val="center"/>
        <w:rPr>
          <w:rFonts w:ascii="Arial" w:hAnsi="Arial" w:cs="Arial"/>
          <w:b/>
          <w:sz w:val="28"/>
          <w:szCs w:val="28"/>
        </w:rPr>
      </w:pPr>
    </w:p>
    <w:p w:rsidR="009D7CFA" w:rsidRPr="007808A5" w:rsidRDefault="009D7CFA" w:rsidP="009D7CFA">
      <w:pPr>
        <w:ind w:left="360" w:right="760"/>
        <w:jc w:val="center"/>
        <w:rPr>
          <w:rFonts w:ascii="Arial" w:hAnsi="Arial" w:cs="Arial"/>
          <w:b/>
          <w:sz w:val="28"/>
          <w:szCs w:val="28"/>
        </w:rPr>
      </w:pPr>
      <w:r w:rsidRPr="007808A5">
        <w:rPr>
          <w:rFonts w:ascii="Arial" w:hAnsi="Arial" w:cs="Arial"/>
          <w:b/>
          <w:sz w:val="28"/>
          <w:szCs w:val="28"/>
        </w:rPr>
        <w:lastRenderedPageBreak/>
        <w:t>JUSTIFICATIVA</w:t>
      </w:r>
    </w:p>
    <w:p w:rsidR="009D7CFA" w:rsidRDefault="009D7CFA" w:rsidP="009D7CFA">
      <w:pPr>
        <w:spacing w:line="360" w:lineRule="auto"/>
        <w:ind w:left="357" w:right="760"/>
        <w:jc w:val="both"/>
        <w:rPr>
          <w:rFonts w:ascii="Arial" w:hAnsi="Arial" w:cs="Arial"/>
          <w:sz w:val="24"/>
          <w:szCs w:val="24"/>
        </w:rPr>
      </w:pPr>
    </w:p>
    <w:p w:rsidR="00481A66" w:rsidRDefault="00481A66" w:rsidP="009D7CFA">
      <w:pPr>
        <w:spacing w:line="360" w:lineRule="auto"/>
        <w:ind w:left="357" w:right="760"/>
        <w:jc w:val="both"/>
        <w:rPr>
          <w:rFonts w:ascii="Arial" w:hAnsi="Arial" w:cs="Arial"/>
          <w:sz w:val="24"/>
          <w:szCs w:val="24"/>
        </w:rPr>
      </w:pPr>
    </w:p>
    <w:p w:rsidR="006708A7" w:rsidRDefault="006708A7" w:rsidP="009D7CFA">
      <w:pPr>
        <w:spacing w:line="360" w:lineRule="auto"/>
        <w:ind w:left="357" w:right="760"/>
        <w:jc w:val="both"/>
        <w:rPr>
          <w:rFonts w:ascii="Arial" w:hAnsi="Arial" w:cs="Arial"/>
          <w:sz w:val="24"/>
          <w:szCs w:val="24"/>
        </w:rPr>
      </w:pPr>
    </w:p>
    <w:p w:rsidR="006708A7" w:rsidRDefault="006708A7" w:rsidP="009D7CFA">
      <w:pPr>
        <w:spacing w:line="360" w:lineRule="auto"/>
        <w:ind w:left="357" w:right="760"/>
        <w:jc w:val="both"/>
        <w:rPr>
          <w:rFonts w:ascii="Arial" w:hAnsi="Arial" w:cs="Arial"/>
          <w:sz w:val="24"/>
          <w:szCs w:val="24"/>
        </w:rPr>
      </w:pPr>
    </w:p>
    <w:p w:rsidR="006708A7" w:rsidRDefault="006708A7" w:rsidP="009D7CFA">
      <w:pPr>
        <w:spacing w:line="360" w:lineRule="auto"/>
        <w:ind w:left="357" w:right="760"/>
        <w:jc w:val="both"/>
        <w:rPr>
          <w:rFonts w:ascii="Arial" w:hAnsi="Arial" w:cs="Arial"/>
          <w:sz w:val="24"/>
          <w:szCs w:val="24"/>
        </w:rPr>
      </w:pPr>
    </w:p>
    <w:p w:rsidR="006708A7" w:rsidRDefault="006708A7" w:rsidP="009D7CFA">
      <w:pPr>
        <w:spacing w:line="360" w:lineRule="auto"/>
        <w:ind w:left="357" w:right="760"/>
        <w:jc w:val="both"/>
        <w:rPr>
          <w:rFonts w:ascii="Arial" w:hAnsi="Arial" w:cs="Arial"/>
          <w:sz w:val="24"/>
          <w:szCs w:val="24"/>
        </w:rPr>
      </w:pPr>
    </w:p>
    <w:p w:rsidR="006708A7" w:rsidRDefault="006708A7" w:rsidP="009D7CFA">
      <w:pPr>
        <w:spacing w:line="360" w:lineRule="auto"/>
        <w:ind w:left="357" w:right="760"/>
        <w:jc w:val="both"/>
        <w:rPr>
          <w:rFonts w:ascii="Arial" w:hAnsi="Arial" w:cs="Arial"/>
          <w:sz w:val="24"/>
          <w:szCs w:val="24"/>
        </w:rPr>
      </w:pPr>
    </w:p>
    <w:p w:rsidR="00481A66" w:rsidRPr="009D7CFA" w:rsidRDefault="00481A66" w:rsidP="009D7CFA">
      <w:pPr>
        <w:spacing w:line="360" w:lineRule="auto"/>
        <w:ind w:left="357" w:right="760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9D7CFA" w:rsidP="000E0C0E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253878" w:rsidRDefault="009D7CFA" w:rsidP="009F42FB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ab/>
      </w:r>
      <w:r w:rsidRPr="009D7CFA">
        <w:rPr>
          <w:rFonts w:ascii="Arial" w:hAnsi="Arial" w:cs="Arial"/>
          <w:sz w:val="24"/>
          <w:szCs w:val="24"/>
        </w:rPr>
        <w:tab/>
      </w:r>
      <w:r w:rsidR="00A2696B">
        <w:rPr>
          <w:rFonts w:ascii="Arial" w:hAnsi="Arial" w:cs="Arial"/>
          <w:sz w:val="24"/>
          <w:szCs w:val="24"/>
        </w:rPr>
        <w:t xml:space="preserve">O presente Projeto de </w:t>
      </w:r>
      <w:r w:rsidR="009F42FB">
        <w:rPr>
          <w:rFonts w:ascii="Arial" w:hAnsi="Arial" w:cs="Arial"/>
          <w:sz w:val="24"/>
          <w:szCs w:val="24"/>
        </w:rPr>
        <w:t>Resolução</w:t>
      </w:r>
      <w:r w:rsidR="00A2696B">
        <w:rPr>
          <w:rFonts w:ascii="Arial" w:hAnsi="Arial" w:cs="Arial"/>
          <w:sz w:val="24"/>
          <w:szCs w:val="24"/>
        </w:rPr>
        <w:t xml:space="preserve"> visa</w:t>
      </w:r>
      <w:r w:rsidR="00253878">
        <w:rPr>
          <w:rFonts w:ascii="Arial" w:hAnsi="Arial" w:cs="Arial"/>
          <w:sz w:val="24"/>
          <w:szCs w:val="24"/>
        </w:rPr>
        <w:t xml:space="preserve"> </w:t>
      </w:r>
      <w:r w:rsidR="00AB7D5A">
        <w:rPr>
          <w:rFonts w:ascii="Arial" w:hAnsi="Arial" w:cs="Arial"/>
          <w:sz w:val="24"/>
          <w:szCs w:val="24"/>
        </w:rPr>
        <w:t>fixar o subsídio dos Vereadores para próxima Legislatura (202</w:t>
      </w:r>
      <w:r w:rsidR="004831CB">
        <w:rPr>
          <w:rFonts w:ascii="Arial" w:hAnsi="Arial" w:cs="Arial"/>
          <w:sz w:val="24"/>
          <w:szCs w:val="24"/>
        </w:rPr>
        <w:t>5</w:t>
      </w:r>
      <w:r w:rsidR="00AB7D5A">
        <w:rPr>
          <w:rFonts w:ascii="Arial" w:hAnsi="Arial" w:cs="Arial"/>
          <w:sz w:val="24"/>
          <w:szCs w:val="24"/>
        </w:rPr>
        <w:t>/202</w:t>
      </w:r>
      <w:r w:rsidR="004831CB">
        <w:rPr>
          <w:rFonts w:ascii="Arial" w:hAnsi="Arial" w:cs="Arial"/>
          <w:sz w:val="24"/>
          <w:szCs w:val="24"/>
        </w:rPr>
        <w:t>8</w:t>
      </w:r>
      <w:r w:rsidR="00AB7D5A">
        <w:rPr>
          <w:rFonts w:ascii="Arial" w:hAnsi="Arial" w:cs="Arial"/>
          <w:sz w:val="24"/>
          <w:szCs w:val="24"/>
        </w:rPr>
        <w:t>), dando cumprimento a</w:t>
      </w:r>
      <w:r w:rsidR="00253878">
        <w:rPr>
          <w:rFonts w:ascii="Arial" w:hAnsi="Arial" w:cs="Arial"/>
          <w:sz w:val="24"/>
          <w:szCs w:val="24"/>
        </w:rPr>
        <w:t xml:space="preserve">o determinado pelo artigo 29, inciso VI, alínea ‘f’ da Constituição Federal, que assim </w:t>
      </w:r>
      <w:r w:rsidR="00AB7D5A">
        <w:rPr>
          <w:rFonts w:ascii="Arial" w:hAnsi="Arial" w:cs="Arial"/>
          <w:sz w:val="24"/>
          <w:szCs w:val="24"/>
        </w:rPr>
        <w:t>dispõe</w:t>
      </w:r>
      <w:r w:rsidR="00253878">
        <w:rPr>
          <w:rFonts w:ascii="Arial" w:hAnsi="Arial" w:cs="Arial"/>
          <w:sz w:val="24"/>
          <w:szCs w:val="24"/>
        </w:rPr>
        <w:t>:</w:t>
      </w:r>
    </w:p>
    <w:p w:rsidR="00253878" w:rsidRDefault="00253878" w:rsidP="009F42FB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AB7D5A" w:rsidRPr="00AB7D5A" w:rsidRDefault="00AB7D5A" w:rsidP="00AB7D5A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AB7D5A">
        <w:rPr>
          <w:rFonts w:ascii="Arial" w:hAnsi="Arial" w:cs="Arial"/>
          <w:i/>
          <w:sz w:val="24"/>
          <w:szCs w:val="24"/>
        </w:rPr>
        <w:t>“Art. 29. O Município reger-se-á por lei orgânica, votada em dois turnos, com o interstício mínimo de dez dias, e aprovada por dois terços dos membros da Câmara Municipal, que a promulgará, atendidos os princípios estabelecidos nesta Constituição, na Constituição do respectivo Estado e os seguintes preceitos:</w:t>
      </w:r>
    </w:p>
    <w:p w:rsidR="00AB7D5A" w:rsidRPr="00AB7D5A" w:rsidRDefault="00AB7D5A" w:rsidP="00AB7D5A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AB7D5A">
        <w:rPr>
          <w:rFonts w:ascii="Arial" w:hAnsi="Arial" w:cs="Arial"/>
          <w:i/>
          <w:sz w:val="24"/>
          <w:szCs w:val="24"/>
        </w:rPr>
        <w:t>(...)</w:t>
      </w:r>
    </w:p>
    <w:p w:rsidR="00AB7D5A" w:rsidRPr="00AB7D5A" w:rsidRDefault="00AB7D5A" w:rsidP="00AB7D5A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AB7D5A">
        <w:rPr>
          <w:rFonts w:ascii="Arial" w:hAnsi="Arial" w:cs="Arial"/>
          <w:i/>
          <w:sz w:val="24"/>
          <w:szCs w:val="24"/>
        </w:rPr>
        <w:t xml:space="preserve">VI - </w:t>
      </w:r>
      <w:proofErr w:type="gramStart"/>
      <w:r w:rsidRPr="00AB7D5A">
        <w:rPr>
          <w:rFonts w:ascii="Arial" w:hAnsi="Arial" w:cs="Arial"/>
          <w:i/>
          <w:sz w:val="24"/>
          <w:szCs w:val="24"/>
        </w:rPr>
        <w:t>o</w:t>
      </w:r>
      <w:proofErr w:type="gramEnd"/>
      <w:r w:rsidRPr="00AB7D5A">
        <w:rPr>
          <w:rFonts w:ascii="Arial" w:hAnsi="Arial" w:cs="Arial"/>
          <w:i/>
          <w:sz w:val="24"/>
          <w:szCs w:val="24"/>
        </w:rPr>
        <w:t xml:space="preserve"> subsídio dos Vereadores será fixado pelas respectivas Câmaras Municipais em cada legislatura para a subsequente, observado o que dispõe esta Constituição, observados os critérios estabelecidos na respectiva Lei Orgânica e os seguintes limites máximos:</w:t>
      </w:r>
      <w:r w:rsidR="00754B78">
        <w:rPr>
          <w:rFonts w:ascii="Arial" w:hAnsi="Arial" w:cs="Arial"/>
          <w:i/>
          <w:sz w:val="24"/>
          <w:szCs w:val="24"/>
        </w:rPr>
        <w:t xml:space="preserve"> </w:t>
      </w:r>
      <w:hyperlink r:id="rId7" w:anchor="art1" w:history="1">
        <w:r w:rsidRPr="00AB7D5A">
          <w:rPr>
            <w:i/>
            <w:sz w:val="24"/>
            <w:szCs w:val="24"/>
          </w:rPr>
          <w:t>(Redação dada pela Emenda Constitucional nº 25, de 2000)</w:t>
        </w:r>
      </w:hyperlink>
    </w:p>
    <w:p w:rsidR="00AB7D5A" w:rsidRPr="00AB7D5A" w:rsidRDefault="00AB7D5A" w:rsidP="00AB7D5A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AB7D5A">
        <w:rPr>
          <w:rFonts w:ascii="Arial" w:hAnsi="Arial" w:cs="Arial"/>
          <w:i/>
          <w:sz w:val="24"/>
          <w:szCs w:val="24"/>
        </w:rPr>
        <w:t>(...)</w:t>
      </w:r>
    </w:p>
    <w:p w:rsidR="00AB7D5A" w:rsidRPr="00AB7D5A" w:rsidRDefault="00AB7D5A" w:rsidP="00AB7D5A">
      <w:pPr>
        <w:spacing w:after="0" w:line="360" w:lineRule="auto"/>
        <w:ind w:left="851" w:right="760"/>
        <w:jc w:val="both"/>
        <w:rPr>
          <w:rFonts w:ascii="Arial" w:hAnsi="Arial" w:cs="Arial"/>
          <w:sz w:val="24"/>
          <w:szCs w:val="24"/>
        </w:rPr>
      </w:pPr>
      <w:r w:rsidRPr="00AB7D5A">
        <w:rPr>
          <w:rFonts w:ascii="Arial" w:hAnsi="Arial" w:cs="Arial"/>
          <w:i/>
          <w:sz w:val="24"/>
          <w:szCs w:val="24"/>
        </w:rPr>
        <w:t xml:space="preserve">f) em Municípios de mais de quinhentos mil habitantes, o subsídio máximo dos Vereadores corresponderá a setenta e cinco por cento do subsídio dos Deputados </w:t>
      </w:r>
      <w:proofErr w:type="gramStart"/>
      <w:r w:rsidRPr="00AB7D5A">
        <w:rPr>
          <w:rFonts w:ascii="Arial" w:hAnsi="Arial" w:cs="Arial"/>
          <w:i/>
          <w:sz w:val="24"/>
          <w:szCs w:val="24"/>
        </w:rPr>
        <w:t>Estaduais;”</w:t>
      </w:r>
      <w:proofErr w:type="gramEnd"/>
    </w:p>
    <w:p w:rsidR="00D938FD" w:rsidRDefault="00253878" w:rsidP="000E0C0E">
      <w:pPr>
        <w:spacing w:after="0" w:line="360" w:lineRule="auto"/>
        <w:ind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AB7D5A">
        <w:rPr>
          <w:rFonts w:ascii="Arial" w:hAnsi="Arial" w:cs="Arial"/>
          <w:sz w:val="24"/>
          <w:szCs w:val="24"/>
        </w:rPr>
        <w:t>Da leitura do dispositivo constitucional supratranscrito depreende-se que a fixação do subsídio para os Vereadores de Sorocaba pode equivaler a 75% (setenta e cinco por cento) do subsídio pago aos deputados estaduais, de modo que, considerando-se que a última fixação de subsídio para os deputados do Estado de São Paulo ocorreu através da Lei estadual nº 16.090, de 8 de janeiro de 2016, no valor de 25.322,25 (vinte e cinco mil, trezentos e vin</w:t>
      </w:r>
      <w:r w:rsidR="00754B78">
        <w:rPr>
          <w:rFonts w:ascii="Arial" w:hAnsi="Arial" w:cs="Arial"/>
          <w:sz w:val="24"/>
          <w:szCs w:val="24"/>
        </w:rPr>
        <w:t xml:space="preserve">te e dois reais e vinte e cinco centavos), resolveu a Mesa Diretora apresentar esta proposição para que o subsídio dos Vereadores sorocabanos seja fixado em </w:t>
      </w:r>
      <w:r w:rsidR="009E20B0">
        <w:rPr>
          <w:rFonts w:ascii="Arial" w:hAnsi="Arial" w:cs="Arial"/>
          <w:sz w:val="24"/>
          <w:szCs w:val="24"/>
        </w:rPr>
        <w:t xml:space="preserve">R$18.000,00 (dezoito mil reais) e do Presidente da Casa de Leis em </w:t>
      </w:r>
      <w:r w:rsidR="00754B78">
        <w:rPr>
          <w:color w:val="000000"/>
          <w:sz w:val="27"/>
          <w:szCs w:val="27"/>
          <w:shd w:val="clear" w:color="auto" w:fill="FFFFFF"/>
        </w:rPr>
        <w:t>R$18.9</w:t>
      </w:r>
      <w:r w:rsidR="009E20B0">
        <w:rPr>
          <w:color w:val="000000"/>
          <w:sz w:val="27"/>
          <w:szCs w:val="27"/>
          <w:shd w:val="clear" w:color="auto" w:fill="FFFFFF"/>
        </w:rPr>
        <w:t xml:space="preserve">00,00 </w:t>
      </w:r>
      <w:r w:rsidR="00754B78">
        <w:rPr>
          <w:color w:val="000000"/>
          <w:sz w:val="27"/>
          <w:szCs w:val="27"/>
          <w:shd w:val="clear" w:color="auto" w:fill="FFFFFF"/>
        </w:rPr>
        <w:t>(dezoito mil</w:t>
      </w:r>
      <w:r w:rsidR="009E20B0">
        <w:rPr>
          <w:color w:val="000000"/>
          <w:sz w:val="27"/>
          <w:szCs w:val="27"/>
          <w:shd w:val="clear" w:color="auto" w:fill="FFFFFF"/>
        </w:rPr>
        <w:t xml:space="preserve"> e novecentos reais), ou seja, ainda abaixo de </w:t>
      </w:r>
      <w:r w:rsidR="00754B78">
        <w:rPr>
          <w:color w:val="000000"/>
          <w:sz w:val="27"/>
          <w:szCs w:val="27"/>
          <w:shd w:val="clear" w:color="auto" w:fill="FFFFFF"/>
        </w:rPr>
        <w:t>75% (setenta e cinco por cento) do valor do subsídio dos deputados estaduais.</w:t>
      </w:r>
    </w:p>
    <w:p w:rsidR="00754B78" w:rsidRDefault="00754B78" w:rsidP="000E0C0E">
      <w:pPr>
        <w:spacing w:after="0" w:line="360" w:lineRule="auto"/>
        <w:ind w:right="760"/>
        <w:jc w:val="both"/>
        <w:rPr>
          <w:color w:val="000000"/>
          <w:sz w:val="27"/>
          <w:szCs w:val="27"/>
          <w:shd w:val="clear" w:color="auto" w:fill="FFFFFF"/>
        </w:rPr>
      </w:pPr>
    </w:p>
    <w:p w:rsidR="00754B78" w:rsidRDefault="00754B78" w:rsidP="000E0C0E">
      <w:pPr>
        <w:spacing w:after="0" w:line="360" w:lineRule="auto"/>
        <w:ind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  <w:t xml:space="preserve">Observe-se que tal valor se mostra razoável frente ao porte do Município de Sorocaba e, ainda, ao valor pago aos Secretários Municipais, cujo subsídio atualmente </w:t>
      </w:r>
      <w:r>
        <w:rPr>
          <w:color w:val="000000"/>
          <w:sz w:val="27"/>
          <w:szCs w:val="27"/>
          <w:shd w:val="clear" w:color="auto" w:fill="FFFFFF"/>
        </w:rPr>
        <w:tab/>
      </w:r>
      <w:r w:rsidR="00F1519E">
        <w:rPr>
          <w:color w:val="000000"/>
          <w:sz w:val="27"/>
          <w:szCs w:val="27"/>
          <w:shd w:val="clear" w:color="auto" w:fill="FFFFFF"/>
        </w:rPr>
        <w:t>se encontra fixado em R$</w:t>
      </w:r>
      <w:r w:rsidR="009E20B0">
        <w:rPr>
          <w:color w:val="000000"/>
          <w:sz w:val="27"/>
          <w:szCs w:val="27"/>
          <w:shd w:val="clear" w:color="auto" w:fill="FFFFFF"/>
        </w:rPr>
        <w:t>17.617,80</w:t>
      </w:r>
      <w:r w:rsidR="00F1519E">
        <w:rPr>
          <w:color w:val="000000"/>
          <w:sz w:val="27"/>
          <w:szCs w:val="27"/>
          <w:shd w:val="clear" w:color="auto" w:fill="FFFFFF"/>
        </w:rPr>
        <w:t xml:space="preserve"> (</w:t>
      </w:r>
      <w:r w:rsidR="009E20B0">
        <w:rPr>
          <w:color w:val="000000"/>
          <w:sz w:val="27"/>
          <w:szCs w:val="27"/>
          <w:shd w:val="clear" w:color="auto" w:fill="FFFFFF"/>
        </w:rPr>
        <w:t>dezessete mil, seiscentos e dezessete reais e oitenta centavos</w:t>
      </w:r>
      <w:r w:rsidR="00F1519E">
        <w:rPr>
          <w:color w:val="000000"/>
          <w:sz w:val="27"/>
          <w:szCs w:val="27"/>
          <w:shd w:val="clear" w:color="auto" w:fill="FFFFFF"/>
        </w:rPr>
        <w:t>), registrando-se, ainda, que o subsídio do Prefeito atualmente se encontra fixado em R$29.3</w:t>
      </w:r>
      <w:r w:rsidR="006D7510">
        <w:rPr>
          <w:color w:val="000000"/>
          <w:sz w:val="27"/>
          <w:szCs w:val="27"/>
          <w:shd w:val="clear" w:color="auto" w:fill="FFFFFF"/>
        </w:rPr>
        <w:t>63,01</w:t>
      </w:r>
      <w:r w:rsidR="00F1519E">
        <w:rPr>
          <w:color w:val="000000"/>
          <w:sz w:val="27"/>
          <w:szCs w:val="27"/>
          <w:shd w:val="clear" w:color="auto" w:fill="FFFFFF"/>
        </w:rPr>
        <w:t xml:space="preserve"> (vinte e nove mil, trezentos e s</w:t>
      </w:r>
      <w:r w:rsidR="006D7510">
        <w:rPr>
          <w:color w:val="000000"/>
          <w:sz w:val="27"/>
          <w:szCs w:val="27"/>
          <w:shd w:val="clear" w:color="auto" w:fill="FFFFFF"/>
        </w:rPr>
        <w:t>essenta e três reais e um centavo</w:t>
      </w:r>
      <w:r w:rsidR="00F1519E">
        <w:rPr>
          <w:color w:val="000000"/>
          <w:sz w:val="27"/>
          <w:szCs w:val="27"/>
          <w:shd w:val="clear" w:color="auto" w:fill="FFFFFF"/>
        </w:rPr>
        <w:t>).</w:t>
      </w:r>
    </w:p>
    <w:p w:rsidR="00ED25EC" w:rsidRDefault="00ED25EC" w:rsidP="000E0C0E">
      <w:pPr>
        <w:spacing w:after="0" w:line="360" w:lineRule="auto"/>
        <w:ind w:right="760"/>
        <w:jc w:val="both"/>
        <w:rPr>
          <w:color w:val="000000"/>
          <w:sz w:val="27"/>
          <w:szCs w:val="27"/>
          <w:shd w:val="clear" w:color="auto" w:fill="FFFFFF"/>
        </w:rPr>
      </w:pPr>
    </w:p>
    <w:p w:rsidR="00ED25EC" w:rsidRDefault="00ED25EC" w:rsidP="000E0C0E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  <w:t xml:space="preserve">No mais, a presente Resolução visa dar cumprimento </w:t>
      </w:r>
      <w:r w:rsidR="009E20B0">
        <w:rPr>
          <w:color w:val="000000"/>
          <w:sz w:val="27"/>
          <w:szCs w:val="27"/>
          <w:shd w:val="clear" w:color="auto" w:fill="FFFFFF"/>
        </w:rPr>
        <w:t xml:space="preserve">parcial (apenas quanto ao 13º salário) </w:t>
      </w:r>
      <w:r>
        <w:rPr>
          <w:color w:val="000000"/>
          <w:sz w:val="27"/>
          <w:szCs w:val="27"/>
          <w:shd w:val="clear" w:color="auto" w:fill="FFFFFF"/>
        </w:rPr>
        <w:t>ao decidido pelo Supremo Tribunal Federal por ocasião da análise do Tema nº 484 de Repercussão Geral:</w:t>
      </w:r>
    </w:p>
    <w:p w:rsidR="00D938FD" w:rsidRDefault="00D938FD" w:rsidP="000E0C0E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</w:p>
    <w:tbl>
      <w:tblPr>
        <w:tblW w:w="84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941"/>
        <w:gridCol w:w="6051"/>
        <w:gridCol w:w="969"/>
      </w:tblGrid>
      <w:tr w:rsidR="00D938FD" w:rsidTr="00D938F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38FD" w:rsidRDefault="00D635D8" w:rsidP="00BD02D1">
            <w:pPr>
              <w:jc w:val="both"/>
              <w:rPr>
                <w:rFonts w:ascii="Tahoma" w:hAnsi="Tahoma" w:cs="Tahoma"/>
                <w:color w:val="385260"/>
                <w:sz w:val="18"/>
                <w:szCs w:val="18"/>
              </w:rPr>
            </w:pPr>
            <w:hyperlink r:id="rId8" w:history="1">
              <w:r w:rsidR="00D938FD">
                <w:rPr>
                  <w:rStyle w:val="Hyperlink"/>
                  <w:rFonts w:ascii="Tahoma" w:hAnsi="Tahoma" w:cs="Tahoma"/>
                  <w:color w:val="066194"/>
                  <w:sz w:val="18"/>
                  <w:szCs w:val="18"/>
                </w:rPr>
                <w:t>0484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8FD" w:rsidRDefault="009C0730" w:rsidP="00BD02D1">
            <w:pPr>
              <w:jc w:val="both"/>
              <w:rPr>
                <w:rStyle w:val="Forte"/>
                <w:color w:val="066194"/>
              </w:rPr>
            </w:pPr>
            <w:r>
              <w:rPr>
                <w:rFonts w:ascii="Tahoma" w:hAnsi="Tahoma" w:cs="Tahoma"/>
                <w:color w:val="385260"/>
                <w:sz w:val="18"/>
                <w:szCs w:val="18"/>
              </w:rPr>
              <w:t xml:space="preserve">    </w:t>
            </w:r>
            <w:r w:rsidR="00BD02D1">
              <w:rPr>
                <w:rFonts w:ascii="Tahoma" w:hAnsi="Tahoma" w:cs="Tahoma"/>
                <w:color w:val="385260"/>
                <w:sz w:val="18"/>
                <w:szCs w:val="18"/>
              </w:rPr>
              <w:t xml:space="preserve">  </w:t>
            </w:r>
            <w:r w:rsidR="00D938FD">
              <w:rPr>
                <w:rFonts w:ascii="Tahoma" w:hAnsi="Tahoma" w:cs="Tahoma"/>
                <w:color w:val="385260"/>
                <w:sz w:val="18"/>
                <w:szCs w:val="18"/>
              </w:rPr>
              <w:t>RE 650898</w:t>
            </w:r>
            <w:r w:rsidR="00D938FD">
              <w:rPr>
                <w:rFonts w:ascii="Tahoma" w:hAnsi="Tahoma" w:cs="Tahoma"/>
                <w:color w:val="385260"/>
                <w:sz w:val="18"/>
                <w:szCs w:val="18"/>
              </w:rPr>
              <w:fldChar w:fldCharType="begin"/>
            </w:r>
            <w:r w:rsidR="00D938FD">
              <w:rPr>
                <w:rFonts w:ascii="Tahoma" w:hAnsi="Tahoma" w:cs="Tahoma"/>
                <w:color w:val="385260"/>
                <w:sz w:val="18"/>
                <w:szCs w:val="18"/>
              </w:rPr>
              <w:instrText xml:space="preserve"> HYPERLINK "http://www.stf.jus.br/portal/jurisprudencia/listarConsolidada.asp?classe=RE&amp;numero=650898&amp;origem=AP" </w:instrText>
            </w:r>
            <w:r w:rsidR="00D938FD">
              <w:rPr>
                <w:rFonts w:ascii="Tahoma" w:hAnsi="Tahoma" w:cs="Tahoma"/>
                <w:color w:val="385260"/>
                <w:sz w:val="18"/>
                <w:szCs w:val="18"/>
              </w:rPr>
              <w:fldChar w:fldCharType="separate"/>
            </w:r>
          </w:p>
          <w:p w:rsidR="00D938FD" w:rsidRDefault="00BD02D1" w:rsidP="00BD02D1">
            <w:pPr>
              <w:jc w:val="both"/>
              <w:textAlignment w:val="center"/>
            </w:pPr>
            <w:r>
              <w:rPr>
                <w:rFonts w:ascii="Tahoma" w:hAnsi="Tahoma" w:cs="Tahoma"/>
                <w:b/>
                <w:bCs/>
                <w:color w:val="066194"/>
                <w:sz w:val="18"/>
                <w:szCs w:val="18"/>
              </w:rPr>
              <w:t xml:space="preserve"> </w:t>
            </w:r>
            <w:r w:rsidR="00D938FD">
              <w:rPr>
                <w:rFonts w:ascii="Tahoma" w:hAnsi="Tahoma" w:cs="Tahoma"/>
                <w:b/>
                <w:bCs/>
                <w:color w:val="066194"/>
                <w:sz w:val="18"/>
                <w:szCs w:val="18"/>
              </w:rPr>
              <w:t>Acórdão</w:t>
            </w:r>
          </w:p>
          <w:p w:rsidR="00D938FD" w:rsidRDefault="00D938FD" w:rsidP="00BD02D1">
            <w:pPr>
              <w:jc w:val="both"/>
              <w:rPr>
                <w:rFonts w:ascii="Tahoma" w:hAnsi="Tahoma" w:cs="Tahoma"/>
                <w:color w:val="385260"/>
                <w:sz w:val="18"/>
                <w:szCs w:val="18"/>
              </w:rPr>
            </w:pPr>
            <w:r>
              <w:rPr>
                <w:rFonts w:ascii="Tahoma" w:hAnsi="Tahoma" w:cs="Tahoma"/>
                <w:color w:val="38526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8FD" w:rsidRDefault="009D1B98" w:rsidP="009D1B98">
            <w:pPr>
              <w:jc w:val="both"/>
              <w:textAlignment w:val="center"/>
              <w:rPr>
                <w:rFonts w:ascii="Tahoma" w:hAnsi="Tahoma" w:cs="Tahoma"/>
                <w:color w:val="385260"/>
                <w:sz w:val="18"/>
                <w:szCs w:val="18"/>
              </w:rPr>
            </w:pPr>
            <w:r>
              <w:rPr>
                <w:rFonts w:ascii="Tahoma" w:hAnsi="Tahoma" w:cs="Tahoma"/>
                <w:color w:val="385260"/>
                <w:sz w:val="18"/>
                <w:szCs w:val="18"/>
              </w:rPr>
              <w:t>“</w:t>
            </w:r>
            <w:r w:rsidR="00D938FD">
              <w:rPr>
                <w:rFonts w:ascii="Tahoma" w:hAnsi="Tahoma" w:cs="Tahoma"/>
                <w:color w:val="385260"/>
                <w:sz w:val="18"/>
                <w:szCs w:val="18"/>
              </w:rPr>
              <w:t xml:space="preserve">1) Tribunais de Justiça podem exercer controle abstrato de constitucionalidade de leis municipais utilizando como parâmetro normas da Constituição Federal, desde que se trate de normas de reprodução obrigatória pelos Estados; e 2) </w:t>
            </w:r>
            <w:r w:rsidR="00D938FD" w:rsidRPr="009C0730">
              <w:rPr>
                <w:rFonts w:ascii="Tahoma" w:hAnsi="Tahoma" w:cs="Tahoma"/>
                <w:b/>
                <w:color w:val="385260"/>
                <w:sz w:val="18"/>
                <w:szCs w:val="18"/>
                <w:u w:val="single"/>
              </w:rPr>
              <w:t xml:space="preserve">O art. 39, § 4º, da Constituição Federal não é incompatível com o pagamento de terço de férias e décimo terceiro </w:t>
            </w:r>
            <w:proofErr w:type="gramStart"/>
            <w:r w:rsidR="00D938FD" w:rsidRPr="009C0730">
              <w:rPr>
                <w:rFonts w:ascii="Tahoma" w:hAnsi="Tahoma" w:cs="Tahoma"/>
                <w:b/>
                <w:color w:val="385260"/>
                <w:sz w:val="18"/>
                <w:szCs w:val="18"/>
                <w:u w:val="single"/>
              </w:rPr>
              <w:t>salá</w:t>
            </w:r>
            <w:r w:rsidR="009C0730" w:rsidRPr="009C0730">
              <w:rPr>
                <w:rFonts w:ascii="Tahoma" w:hAnsi="Tahoma" w:cs="Tahoma"/>
                <w:b/>
                <w:color w:val="385260"/>
                <w:sz w:val="18"/>
                <w:szCs w:val="18"/>
                <w:u w:val="single"/>
              </w:rPr>
              <w:t>rio</w:t>
            </w:r>
            <w:r w:rsidR="009C0730">
              <w:rPr>
                <w:rFonts w:ascii="Tahoma" w:hAnsi="Tahoma" w:cs="Tahoma"/>
                <w:color w:val="385260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color w:val="385260"/>
                <w:sz w:val="18"/>
                <w:szCs w:val="18"/>
              </w:rPr>
              <w:t>”</w:t>
            </w:r>
            <w:proofErr w:type="gramEnd"/>
            <w:r>
              <w:rPr>
                <w:rFonts w:ascii="Tahoma" w:hAnsi="Tahoma" w:cs="Tahoma"/>
                <w:color w:val="385260"/>
                <w:sz w:val="18"/>
                <w:szCs w:val="18"/>
              </w:rPr>
              <w:t xml:space="preserve"> </w:t>
            </w:r>
            <w:r w:rsidR="009C0730">
              <w:rPr>
                <w:rFonts w:ascii="Tahoma" w:hAnsi="Tahoma" w:cs="Tahoma"/>
                <w:color w:val="385260"/>
                <w:sz w:val="18"/>
                <w:szCs w:val="18"/>
              </w:rPr>
              <w:t>(</w:t>
            </w:r>
            <w:proofErr w:type="gramStart"/>
            <w:r w:rsidR="009C0730">
              <w:rPr>
                <w:rFonts w:ascii="Tahoma" w:hAnsi="Tahoma" w:cs="Tahoma"/>
                <w:color w:val="385260"/>
                <w:sz w:val="18"/>
                <w:szCs w:val="18"/>
              </w:rPr>
              <w:t>grifamos</w:t>
            </w:r>
            <w:proofErr w:type="gramEnd"/>
            <w:r w:rsidR="009C0730">
              <w:rPr>
                <w:rFonts w:ascii="Tahoma" w:hAnsi="Tahoma" w:cs="Tahoma"/>
                <w:color w:val="38526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8FD" w:rsidRDefault="00D938FD">
            <w:pPr>
              <w:jc w:val="both"/>
              <w:textAlignment w:val="center"/>
              <w:rPr>
                <w:rFonts w:ascii="Tahoma" w:hAnsi="Tahoma" w:cs="Tahoma"/>
                <w:color w:val="385260"/>
                <w:sz w:val="18"/>
                <w:szCs w:val="18"/>
              </w:rPr>
            </w:pPr>
            <w:r>
              <w:rPr>
                <w:rFonts w:ascii="Tahoma" w:hAnsi="Tahoma" w:cs="Tahoma"/>
                <w:color w:val="385260"/>
                <w:sz w:val="18"/>
                <w:szCs w:val="18"/>
              </w:rPr>
              <w:t>01/02/2017</w:t>
            </w:r>
          </w:p>
        </w:tc>
      </w:tr>
    </w:tbl>
    <w:p w:rsidR="00D938FD" w:rsidRDefault="00D938FD" w:rsidP="000E0C0E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8602D8" w:rsidRDefault="008602D8" w:rsidP="000E0C0E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</w:t>
      </w:r>
      <w:r w:rsidR="005C5AF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-se, nesse ponto, que já existe jurisprudência afirmando que referido pagamento sequer necessitaria de previsão legal específica:</w:t>
      </w:r>
    </w:p>
    <w:p w:rsidR="008602D8" w:rsidRDefault="008602D8" w:rsidP="000E0C0E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8602D8" w:rsidRDefault="008602D8" w:rsidP="008602D8">
      <w:pPr>
        <w:spacing w:after="0" w:line="360" w:lineRule="auto"/>
        <w:ind w:left="851" w:right="760"/>
        <w:jc w:val="both"/>
      </w:pPr>
      <w:r w:rsidRPr="008602D8">
        <w:rPr>
          <w:rFonts w:ascii="Arial" w:hAnsi="Arial" w:cs="Arial"/>
          <w:i/>
          <w:sz w:val="24"/>
          <w:szCs w:val="24"/>
        </w:rPr>
        <w:t>“APELAÇÃO. AGENTE POLÍTICA. </w:t>
      </w:r>
      <w:r w:rsidRPr="008602D8">
        <w:rPr>
          <w:rFonts w:ascii="Arial" w:hAnsi="Arial" w:cs="Arial"/>
          <w:iCs/>
          <w:sz w:val="24"/>
          <w:szCs w:val="24"/>
        </w:rPr>
        <w:t>VEREADORA</w:t>
      </w:r>
      <w:r w:rsidRPr="008602D8">
        <w:rPr>
          <w:rFonts w:ascii="Arial" w:hAnsi="Arial" w:cs="Arial"/>
          <w:i/>
          <w:sz w:val="24"/>
          <w:szCs w:val="24"/>
        </w:rPr>
        <w:t xml:space="preserve"> DO MUNICÍPIO DE NOVA ALIANÇA. </w:t>
      </w:r>
      <w:r w:rsidRPr="005C5AF0">
        <w:rPr>
          <w:rFonts w:ascii="Arial" w:hAnsi="Arial" w:cs="Arial"/>
          <w:b/>
          <w:i/>
          <w:sz w:val="24"/>
          <w:szCs w:val="24"/>
          <w:u w:val="single"/>
        </w:rPr>
        <w:t>Regime de subsídios. 13º salário e </w:t>
      </w:r>
      <w:r w:rsidRPr="005C5AF0">
        <w:rPr>
          <w:rFonts w:ascii="Arial" w:hAnsi="Arial" w:cs="Arial"/>
          <w:b/>
          <w:iCs/>
          <w:sz w:val="24"/>
          <w:szCs w:val="24"/>
          <w:u w:val="single"/>
        </w:rPr>
        <w:t>férias</w:t>
      </w:r>
      <w:r w:rsidRPr="005C5AF0">
        <w:rPr>
          <w:rFonts w:ascii="Arial" w:hAnsi="Arial" w:cs="Arial"/>
          <w:b/>
          <w:i/>
          <w:sz w:val="24"/>
          <w:szCs w:val="24"/>
          <w:u w:val="single"/>
        </w:rPr>
        <w:t> acrescidas do </w:t>
      </w:r>
      <w:r w:rsidRPr="005C5AF0">
        <w:rPr>
          <w:rFonts w:ascii="Arial" w:hAnsi="Arial" w:cs="Arial"/>
          <w:b/>
          <w:iCs/>
          <w:sz w:val="24"/>
          <w:szCs w:val="24"/>
          <w:u w:val="single"/>
        </w:rPr>
        <w:t>terço</w:t>
      </w:r>
      <w:r w:rsidRPr="005C5AF0">
        <w:rPr>
          <w:rFonts w:ascii="Arial" w:hAnsi="Arial" w:cs="Arial"/>
          <w:b/>
          <w:i/>
          <w:sz w:val="24"/>
          <w:szCs w:val="24"/>
          <w:u w:val="single"/>
        </w:rPr>
        <w:t> constitucional. Possibilidade. Natureza constitucional das verbas</w:t>
      </w:r>
      <w:r w:rsidRPr="008602D8">
        <w:rPr>
          <w:rFonts w:ascii="Arial" w:hAnsi="Arial" w:cs="Arial"/>
          <w:i/>
          <w:sz w:val="24"/>
          <w:szCs w:val="24"/>
        </w:rPr>
        <w:t xml:space="preserve">. Matéria sedimentada no julgamento do Tema n. 484 de Repercussão Geral (RE n. 650.898/RS). </w:t>
      </w:r>
      <w:r w:rsidRPr="005C5AF0">
        <w:rPr>
          <w:rFonts w:ascii="Arial" w:hAnsi="Arial" w:cs="Arial"/>
          <w:b/>
          <w:i/>
          <w:sz w:val="24"/>
          <w:szCs w:val="24"/>
          <w:u w:val="single"/>
        </w:rPr>
        <w:t>Desnecessidade de previsão legal específica</w:t>
      </w:r>
      <w:r w:rsidRPr="008602D8">
        <w:rPr>
          <w:rFonts w:ascii="Arial" w:hAnsi="Arial" w:cs="Arial"/>
          <w:i/>
          <w:sz w:val="24"/>
          <w:szCs w:val="24"/>
        </w:rPr>
        <w:t xml:space="preserve">. Interpretação sistemática das regras constitucionais. Precedentes. Sentença de improcedência reformada. Recurso </w:t>
      </w:r>
      <w:proofErr w:type="gramStart"/>
      <w:r w:rsidRPr="008602D8">
        <w:rPr>
          <w:rFonts w:ascii="Arial" w:hAnsi="Arial" w:cs="Arial"/>
          <w:i/>
          <w:sz w:val="24"/>
          <w:szCs w:val="24"/>
        </w:rPr>
        <w:t>provido.”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(</w:t>
      </w:r>
      <w:r w:rsidRPr="005C5AF0">
        <w:rPr>
          <w:rFonts w:ascii="Arial" w:hAnsi="Arial" w:cs="Arial"/>
          <w:b/>
          <w:i/>
          <w:sz w:val="24"/>
          <w:szCs w:val="24"/>
        </w:rPr>
        <w:t xml:space="preserve">TJSP, 5ª Câmara de Direito Público, Apelação nº </w:t>
      </w:r>
      <w:r w:rsidRPr="005C5AF0">
        <w:rPr>
          <w:b/>
        </w:rPr>
        <w:t xml:space="preserve">1002156-84.2017.8.26.0474, relatada pela Desembargadora Heloísa Martins </w:t>
      </w:r>
      <w:proofErr w:type="spellStart"/>
      <w:r w:rsidRPr="005C5AF0">
        <w:rPr>
          <w:b/>
        </w:rPr>
        <w:t>Mimessi</w:t>
      </w:r>
      <w:proofErr w:type="spellEnd"/>
      <w:r w:rsidRPr="005C5AF0">
        <w:rPr>
          <w:b/>
        </w:rPr>
        <w:t>, julgamento realizado em 21/02/2019</w:t>
      </w:r>
      <w:r>
        <w:t>)</w:t>
      </w:r>
      <w:r w:rsidR="004A5ED3">
        <w:t xml:space="preserve"> (grifamos)</w:t>
      </w:r>
    </w:p>
    <w:p w:rsidR="00705571" w:rsidRDefault="00705571" w:rsidP="008602D8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</w:p>
    <w:p w:rsidR="004A5ED3" w:rsidRDefault="00705571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="004A5ED3">
        <w:rPr>
          <w:rFonts w:ascii="Arial" w:hAnsi="Arial" w:cs="Arial"/>
          <w:i/>
          <w:sz w:val="24"/>
          <w:szCs w:val="24"/>
        </w:rPr>
        <w:t>Decisão</w:t>
      </w:r>
    </w:p>
    <w:p w:rsid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:rsidR="004A5ED3" w:rsidRP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4A5ED3">
        <w:rPr>
          <w:rFonts w:ascii="Arial" w:hAnsi="Arial" w:cs="Arial"/>
          <w:i/>
          <w:sz w:val="24"/>
          <w:szCs w:val="24"/>
        </w:rPr>
        <w:t>No caso, a parte reclamante aponta a indevida aplicação da tese definida no Tema 484 desta CORTE, pois o Colégio Recursal da 17ª Circunscrição Judiciária – Votuporanga/SP manteve a decisão do Juizado Especial Cível que condenou o Município</w:t>
      </w:r>
    </w:p>
    <w:p w:rsid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A5ED3">
        <w:rPr>
          <w:rFonts w:ascii="Arial" w:hAnsi="Arial" w:cs="Arial"/>
          <w:i/>
          <w:sz w:val="24"/>
          <w:szCs w:val="24"/>
        </w:rPr>
        <w:t>reclamante</w:t>
      </w:r>
      <w:proofErr w:type="gramEnd"/>
      <w:r w:rsidRPr="004A5ED3">
        <w:rPr>
          <w:rFonts w:ascii="Arial" w:hAnsi="Arial" w:cs="Arial"/>
          <w:i/>
          <w:sz w:val="24"/>
          <w:szCs w:val="24"/>
        </w:rPr>
        <w:t>, por entender que “o pagamento das férias não gozadas com o acréscimo do terço constitucional, assim como do 13º salário, é devido, pois não recebidos durante o mandato eletivo, independentemente da existência de previsão na lei orgânica”.</w:t>
      </w:r>
    </w:p>
    <w:p w:rsid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:rsidR="004A5ED3" w:rsidRP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4A5ED3">
        <w:rPr>
          <w:rFonts w:ascii="Arial" w:hAnsi="Arial" w:cs="Arial"/>
          <w:i/>
          <w:sz w:val="24"/>
          <w:szCs w:val="24"/>
        </w:rPr>
        <w:t>No caso concreto, em que pese o esgotamento da jurisdição na instância a quo, a sentença de piso decidiu o caso de fundo atento ao aludido precedente. Transcreve-se dos autos o trecho do julgado que bem esclarece a questão (doc. 8 – fls. 2/3):</w:t>
      </w:r>
    </w:p>
    <w:p w:rsidR="004A5ED3" w:rsidRP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4A5ED3">
        <w:rPr>
          <w:rFonts w:ascii="Arial" w:hAnsi="Arial" w:cs="Arial"/>
          <w:i/>
          <w:sz w:val="24"/>
          <w:szCs w:val="24"/>
        </w:rPr>
        <w:t>“Embora o autor seja um agente político, detentor de mandato eletivo, é perfeitamente legítima a incidência do supratranscrito § 3º, em virtude da possibilidade de sua interpretação conjunta com o § 4º do mesmo dispositivo, em conformidade com os ensinamentos de JOSÉ DOS SANTOS CARVALHO FILHO:</w:t>
      </w:r>
    </w:p>
    <w:p w:rsidR="004A5ED3" w:rsidRP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4A5ED3">
        <w:rPr>
          <w:rFonts w:ascii="Arial" w:hAnsi="Arial" w:cs="Arial"/>
          <w:i/>
          <w:sz w:val="24"/>
          <w:szCs w:val="24"/>
        </w:rPr>
        <w:lastRenderedPageBreak/>
        <w:t>Não custa lembrar que o próprio art. 39, § 4º, da CF, não pode ser interpretado de forma literal, mas sim em conjugação com o § 3º do mesmo artigo, que manda aplicar aos servidores vários direitos concedidos aos trabalhadores da iniciativa privada,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A5ED3">
        <w:rPr>
          <w:rFonts w:ascii="Arial" w:hAnsi="Arial" w:cs="Arial"/>
          <w:i/>
          <w:sz w:val="24"/>
          <w:szCs w:val="24"/>
        </w:rPr>
        <w:t>entre eles o adicional de férias, o décimo terceiro salário, o acréscimo de horas extraordinárias, o adicional de trabalho noturno, etc. São direitos sociais que não podem ser postergados pela Administração. Por conseguinte, é induvidoso que algumas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A5ED3">
        <w:rPr>
          <w:rFonts w:ascii="Arial" w:hAnsi="Arial" w:cs="Arial"/>
          <w:i/>
          <w:sz w:val="24"/>
          <w:szCs w:val="24"/>
        </w:rPr>
        <w:t>situações ensejarão acréscimo pecuniário à dita 'parcela única'. (Manual de Direito Administrativo 25. ed. São Paulo: Atlas, 2012, p. 730.</w:t>
      </w:r>
    </w:p>
    <w:p w:rsidR="004A5ED3" w:rsidRP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4A5ED3">
        <w:rPr>
          <w:rFonts w:ascii="Arial" w:hAnsi="Arial" w:cs="Arial"/>
          <w:i/>
          <w:sz w:val="24"/>
          <w:szCs w:val="24"/>
        </w:rPr>
        <w:t>Além disso, o Plenário do Supremo Tribunal Federal, no julgamento do Recurso Extraordinário 650.898, com repercussão geral reconhecida, firmou entendimento no sentido de que o pagamento de abono de férias e 13º salário não é incompatível com 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A5ED3">
        <w:rPr>
          <w:rFonts w:ascii="Arial" w:hAnsi="Arial" w:cs="Arial"/>
          <w:i/>
          <w:sz w:val="24"/>
          <w:szCs w:val="24"/>
        </w:rPr>
        <w:t xml:space="preserve">artigo 39, parágrafo 4º, da Constituição da República, in </w:t>
      </w:r>
      <w:proofErr w:type="spellStart"/>
      <w:r w:rsidRPr="004A5ED3">
        <w:rPr>
          <w:rFonts w:ascii="Arial" w:hAnsi="Arial" w:cs="Arial"/>
          <w:i/>
          <w:sz w:val="24"/>
          <w:szCs w:val="24"/>
        </w:rPr>
        <w:t>verbis</w:t>
      </w:r>
      <w:proofErr w:type="spellEnd"/>
      <w:r w:rsidRPr="004A5ED3">
        <w:rPr>
          <w:rFonts w:ascii="Arial" w:hAnsi="Arial" w:cs="Arial"/>
          <w:i/>
          <w:sz w:val="24"/>
          <w:szCs w:val="24"/>
        </w:rPr>
        <w:t>:</w:t>
      </w:r>
    </w:p>
    <w:p w:rsidR="004A5ED3" w:rsidRP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4A5ED3">
        <w:rPr>
          <w:rFonts w:ascii="Arial" w:hAnsi="Arial" w:cs="Arial"/>
          <w:i/>
          <w:sz w:val="24"/>
          <w:szCs w:val="24"/>
        </w:rPr>
        <w:t>Recurso Extraordinário. Repercussão Geral. Ação direta de inconstitucionalidade estadual. Parâmetro de controle. Regime de subsídio. Verba de representação, 13º salário e terço constitucional de férias. 1. Tribunais de Justiça podem exercer controle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A5ED3">
        <w:rPr>
          <w:rFonts w:ascii="Arial" w:hAnsi="Arial" w:cs="Arial"/>
          <w:i/>
          <w:sz w:val="24"/>
          <w:szCs w:val="24"/>
        </w:rPr>
        <w:t>abstrato de constitucionalidade de leis municipais utilizando como parâmetro normas da Constituição Federal, desde que se trate de normas de reprodução obrigatória pelos Estados. Precedentes. 2. O regime de subsídio é incompatível com outras parcelas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A5ED3">
        <w:rPr>
          <w:rFonts w:ascii="Arial" w:hAnsi="Arial" w:cs="Arial"/>
          <w:i/>
          <w:sz w:val="24"/>
          <w:szCs w:val="24"/>
        </w:rPr>
        <w:t>remuneratórias de natureza mensal, o que não é o caso do décimo terceiro salário e do terço constitucional de férias, pagos a todos os trabalhadores e servidores com periodicidade anual. 3. A “verba de representação” impugnada tem natureza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A5ED3">
        <w:rPr>
          <w:rFonts w:ascii="Arial" w:hAnsi="Arial" w:cs="Arial"/>
          <w:i/>
          <w:sz w:val="24"/>
          <w:szCs w:val="24"/>
        </w:rPr>
        <w:t xml:space="preserve">remuneratória, independentemente de a lei municipal atribuir-lhe nominalmente natureza indenizatória. Como consequência, não é compatível com o regime constitucional de subsídio. 4. Recurso parcialmente provido. (RE 650898, </w:t>
      </w:r>
      <w:proofErr w:type="gramStart"/>
      <w:r w:rsidRPr="004A5ED3">
        <w:rPr>
          <w:rFonts w:ascii="Arial" w:hAnsi="Arial" w:cs="Arial"/>
          <w:i/>
          <w:sz w:val="24"/>
          <w:szCs w:val="24"/>
        </w:rPr>
        <w:t>Relator(</w:t>
      </w:r>
      <w:proofErr w:type="gramEnd"/>
      <w:r w:rsidRPr="004A5ED3">
        <w:rPr>
          <w:rFonts w:ascii="Arial" w:hAnsi="Arial" w:cs="Arial"/>
          <w:i/>
          <w:sz w:val="24"/>
          <w:szCs w:val="24"/>
        </w:rPr>
        <w:t>a): Min. MARCO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A5ED3">
        <w:rPr>
          <w:rFonts w:ascii="Arial" w:hAnsi="Arial" w:cs="Arial"/>
          <w:i/>
          <w:sz w:val="24"/>
          <w:szCs w:val="24"/>
        </w:rPr>
        <w:t>AURÉLIO, Relator(a) p/ Acórdão: Min. ROBERTO BARROSO, Tribunal Pleno, julgado em 01/02/2017, ACÓRDÃO ELETRÔNICO DJe-187 DIVULG 23-08-2017 PUBLIC 24-08-2017)(grifo nosso</w:t>
      </w:r>
      <w:r>
        <w:rPr>
          <w:rFonts w:ascii="Arial" w:hAnsi="Arial" w:cs="Arial"/>
          <w:i/>
          <w:sz w:val="24"/>
          <w:szCs w:val="24"/>
        </w:rPr>
        <w:t>)</w:t>
      </w:r>
      <w:r w:rsidRPr="004A5ED3">
        <w:rPr>
          <w:rFonts w:ascii="Arial" w:hAnsi="Arial" w:cs="Arial"/>
          <w:i/>
          <w:sz w:val="24"/>
          <w:szCs w:val="24"/>
        </w:rPr>
        <w:t>.</w:t>
      </w:r>
    </w:p>
    <w:p w:rsidR="004A5ED3" w:rsidRP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4A5ED3">
        <w:rPr>
          <w:rFonts w:ascii="Arial" w:hAnsi="Arial" w:cs="Arial"/>
          <w:i/>
          <w:sz w:val="24"/>
          <w:szCs w:val="24"/>
        </w:rPr>
        <w:lastRenderedPageBreak/>
        <w:t>No mesmo sentido o Egrégio Tribunal de Justiça de São Paulo:</w:t>
      </w:r>
    </w:p>
    <w:p w:rsidR="004A5ED3" w:rsidRP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4A5ED3">
        <w:rPr>
          <w:rFonts w:ascii="Arial" w:hAnsi="Arial" w:cs="Arial"/>
          <w:i/>
          <w:sz w:val="24"/>
          <w:szCs w:val="24"/>
        </w:rPr>
        <w:t>APELAÇÃO. SERVIDOR PÚBLICO MUNICIPAL. SECRETÁRIO DE FINANÇAS DO MUNICÍPIO DE TIETÊ. PEDIDO DE PAGAMENTO DE DÉCIMO TERCEIRO SALÁRIO, FÉRIAS COM ACRÉSCIMO DE 1/3. ADMISSIBILIDADE. AGENTE POLÍTICO. NORMA DO § 4º DO ART. 39, DA CF, QUE DEVE SER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A5ED3">
        <w:rPr>
          <w:rFonts w:ascii="Arial" w:hAnsi="Arial" w:cs="Arial"/>
          <w:i/>
          <w:sz w:val="24"/>
          <w:szCs w:val="24"/>
        </w:rPr>
        <w:t>INTERPRETADO EM HARMONIA COM A REGRA INSERTA NO § 3º DO MESMO DISPOSITIVO CONSTITUCIONAL. DIREITOS SOCIAIS RECONHECIDOS. INCISOS VIII E XVII, DO ARTIGO 7°, DA CF. PRECEDENTES DESTA CORTE. APURAÇÃO DO QUANTUM DEVIDO EM LIQUIDAÇÃO DE SENTENÇA. AÇÃO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A5ED3">
        <w:rPr>
          <w:rFonts w:ascii="Arial" w:hAnsi="Arial" w:cs="Arial"/>
          <w:i/>
          <w:sz w:val="24"/>
          <w:szCs w:val="24"/>
        </w:rPr>
        <w:t xml:space="preserve">PROCEDENTE. MANUTENÇÃO. RECURSO DESPROVIDO. (TJSP </w:t>
      </w:r>
      <w:proofErr w:type="spellStart"/>
      <w:r w:rsidRPr="004A5ED3">
        <w:rPr>
          <w:rFonts w:ascii="Arial" w:hAnsi="Arial" w:cs="Arial"/>
          <w:i/>
          <w:sz w:val="24"/>
          <w:szCs w:val="24"/>
        </w:rPr>
        <w:t>Apel</w:t>
      </w:r>
      <w:proofErr w:type="spellEnd"/>
      <w:r w:rsidRPr="004A5ED3">
        <w:rPr>
          <w:rFonts w:ascii="Arial" w:hAnsi="Arial" w:cs="Arial"/>
          <w:i/>
          <w:sz w:val="24"/>
          <w:szCs w:val="24"/>
        </w:rPr>
        <w:t xml:space="preserve">. 0005373-85.2011.8.26.0629. Rel. Des. Amorim </w:t>
      </w:r>
      <w:proofErr w:type="spellStart"/>
      <w:r w:rsidRPr="004A5ED3">
        <w:rPr>
          <w:rFonts w:ascii="Arial" w:hAnsi="Arial" w:cs="Arial"/>
          <w:i/>
          <w:sz w:val="24"/>
          <w:szCs w:val="24"/>
        </w:rPr>
        <w:t>Cantuária</w:t>
      </w:r>
      <w:proofErr w:type="spellEnd"/>
      <w:r w:rsidRPr="004A5ED3">
        <w:rPr>
          <w:rFonts w:ascii="Arial" w:hAnsi="Arial" w:cs="Arial"/>
          <w:i/>
          <w:sz w:val="24"/>
          <w:szCs w:val="24"/>
        </w:rPr>
        <w:t>. Julg. 26/03/2013).</w:t>
      </w:r>
    </w:p>
    <w:p w:rsidR="004A5ED3" w:rsidRP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4A5ED3">
        <w:rPr>
          <w:rFonts w:ascii="Arial" w:hAnsi="Arial" w:cs="Arial"/>
          <w:i/>
          <w:sz w:val="24"/>
          <w:szCs w:val="24"/>
        </w:rPr>
        <w:t>Desse modo, o pagamento das férias não gozadas com o acréscimo do terço constitucional, assim como do 13º salário, é devido, pois não recebidos durante o mandato eletivo, independentemente da existência de previsão na lei orgânica.</w:t>
      </w:r>
    </w:p>
    <w:p w:rsidR="004A5ED3" w:rsidRP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4A5ED3">
        <w:rPr>
          <w:rFonts w:ascii="Arial" w:hAnsi="Arial" w:cs="Arial"/>
          <w:i/>
          <w:sz w:val="24"/>
          <w:szCs w:val="24"/>
        </w:rPr>
        <w:t>Isto porque as férias (e o terço correspondente) e o 13º salário são direitos sociais fundamentais. A fruição independe da edição de lei. A propósito, nos termos do art. 5º, §1º, da Constituição Federal, "as normas definidoras dos direitos 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A5ED3">
        <w:rPr>
          <w:rFonts w:ascii="Arial" w:hAnsi="Arial" w:cs="Arial"/>
          <w:i/>
          <w:sz w:val="24"/>
          <w:szCs w:val="24"/>
        </w:rPr>
        <w:t>garantias fundamentais têm aplicação imediata" e nos termos do RE nº 650898/</w:t>
      </w:r>
      <w:proofErr w:type="gramStart"/>
      <w:r w:rsidRPr="004A5ED3">
        <w:rPr>
          <w:rFonts w:ascii="Arial" w:hAnsi="Arial" w:cs="Arial"/>
          <w:i/>
          <w:sz w:val="24"/>
          <w:szCs w:val="24"/>
        </w:rPr>
        <w:t>RS.”</w:t>
      </w:r>
      <w:proofErr w:type="gramEnd"/>
    </w:p>
    <w:p w:rsid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(...)</w:t>
      </w:r>
    </w:p>
    <w:p w:rsidR="00705571" w:rsidRDefault="00705571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4A5ED3">
        <w:rPr>
          <w:rFonts w:ascii="Arial" w:hAnsi="Arial" w:cs="Arial"/>
          <w:b/>
          <w:i/>
          <w:sz w:val="24"/>
          <w:szCs w:val="24"/>
          <w:u w:val="single"/>
        </w:rPr>
        <w:t>Destarte, o juízo a quo, ao assentar que as férias (e o terço correspondente) e o 13º salário são direitos sociais fundamentais, que tem aplicação imediata e, por conseguinte, independem da edição de lei, realizou uma interpretação do paradigma de</w:t>
      </w:r>
      <w:r w:rsidR="004A5ED3" w:rsidRPr="004A5ED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05571">
        <w:rPr>
          <w:rFonts w:ascii="Arial" w:hAnsi="Arial" w:cs="Arial"/>
          <w:b/>
          <w:i/>
          <w:sz w:val="24"/>
          <w:szCs w:val="24"/>
          <w:u w:val="single"/>
        </w:rPr>
        <w:t>repercussão geral que, de modo algum, pode ser considerada teratológica</w:t>
      </w:r>
      <w:r w:rsidRPr="00705571">
        <w:rPr>
          <w:rFonts w:ascii="Arial" w:hAnsi="Arial" w:cs="Arial"/>
          <w:i/>
          <w:sz w:val="24"/>
          <w:szCs w:val="24"/>
        </w:rPr>
        <w:t>.</w:t>
      </w:r>
    </w:p>
    <w:p w:rsid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:rsidR="004A5ED3" w:rsidRPr="004A5ED3" w:rsidRDefault="004A5ED3" w:rsidP="004A5ED3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4A5ED3">
        <w:rPr>
          <w:rFonts w:ascii="Arial" w:hAnsi="Arial" w:cs="Arial"/>
          <w:i/>
          <w:sz w:val="24"/>
          <w:szCs w:val="24"/>
        </w:rPr>
        <w:t xml:space="preserve">Diante do exposto, com base no art. 21, § 1º, do Regimento Interno do Supremo Tribunal Federal, NEGO SEGUIMENTO À </w:t>
      </w:r>
      <w:proofErr w:type="gramStart"/>
      <w:r w:rsidRPr="004A5ED3">
        <w:rPr>
          <w:rFonts w:ascii="Arial" w:hAnsi="Arial" w:cs="Arial"/>
          <w:i/>
          <w:sz w:val="24"/>
          <w:szCs w:val="24"/>
        </w:rPr>
        <w:t>RECLAMAÇÃO.</w:t>
      </w:r>
      <w:r>
        <w:rPr>
          <w:rFonts w:ascii="Arial" w:hAnsi="Arial" w:cs="Arial"/>
          <w:i/>
          <w:sz w:val="24"/>
          <w:szCs w:val="24"/>
        </w:rPr>
        <w:t>”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(</w:t>
      </w:r>
      <w:r w:rsidRPr="005C5AF0">
        <w:rPr>
          <w:rFonts w:ascii="Arial" w:hAnsi="Arial" w:cs="Arial"/>
          <w:b/>
          <w:i/>
          <w:sz w:val="24"/>
          <w:szCs w:val="24"/>
        </w:rPr>
        <w:t>STF, Reclamação nº 32.792, relatada pelo Ministro Alexandre de Moraes, Decisão monocrática datada de 13/12/2018</w:t>
      </w:r>
      <w:r w:rsidR="005C5AF0">
        <w:rPr>
          <w:rFonts w:ascii="Arial" w:hAnsi="Arial" w:cs="Arial"/>
          <w:i/>
          <w:sz w:val="24"/>
          <w:szCs w:val="24"/>
        </w:rPr>
        <w:t>) (grifamos)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8602D8" w:rsidRDefault="008602D8" w:rsidP="000E0C0E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AA3B99" w:rsidP="00F6189C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7CFA" w:rsidRPr="009D7CFA">
        <w:rPr>
          <w:rFonts w:ascii="Arial" w:hAnsi="Arial" w:cs="Arial"/>
          <w:sz w:val="24"/>
          <w:szCs w:val="24"/>
        </w:rPr>
        <w:t>Pelo exposto, contamos com o apoio dos Nobres Colegas na aprovação deste Projeto.</w:t>
      </w:r>
    </w:p>
    <w:p w:rsidR="009D7CFA" w:rsidRPr="009D7CFA" w:rsidRDefault="009D7CFA" w:rsidP="009D7CFA">
      <w:pPr>
        <w:ind w:left="360" w:right="760"/>
        <w:jc w:val="both"/>
        <w:rPr>
          <w:rFonts w:ascii="Arial" w:hAnsi="Arial" w:cs="Arial"/>
          <w:sz w:val="24"/>
          <w:szCs w:val="24"/>
        </w:rPr>
      </w:pPr>
    </w:p>
    <w:p w:rsidR="006A7483" w:rsidRPr="009D7CFA" w:rsidRDefault="006A7483" w:rsidP="006A7483">
      <w:pPr>
        <w:ind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C3B92">
        <w:rPr>
          <w:rFonts w:ascii="Arial" w:hAnsi="Arial" w:cs="Arial"/>
          <w:sz w:val="24"/>
          <w:szCs w:val="24"/>
        </w:rPr>
        <w:t xml:space="preserve">S.S., </w:t>
      </w:r>
      <w:r w:rsidR="009E20B0">
        <w:rPr>
          <w:rFonts w:ascii="Arial" w:hAnsi="Arial" w:cs="Arial"/>
          <w:sz w:val="24"/>
          <w:szCs w:val="24"/>
        </w:rPr>
        <w:t>19</w:t>
      </w:r>
      <w:r w:rsidR="00B122A4">
        <w:rPr>
          <w:rFonts w:ascii="Arial" w:hAnsi="Arial" w:cs="Arial"/>
          <w:sz w:val="24"/>
          <w:szCs w:val="24"/>
        </w:rPr>
        <w:t xml:space="preserve"> de </w:t>
      </w:r>
      <w:r w:rsidR="004831CB">
        <w:rPr>
          <w:rFonts w:ascii="Arial" w:hAnsi="Arial" w:cs="Arial"/>
          <w:sz w:val="24"/>
          <w:szCs w:val="24"/>
        </w:rPr>
        <w:t>outubro</w:t>
      </w:r>
      <w:r w:rsidRPr="009D7CFA">
        <w:rPr>
          <w:rFonts w:ascii="Arial" w:hAnsi="Arial" w:cs="Arial"/>
          <w:sz w:val="24"/>
          <w:szCs w:val="24"/>
        </w:rPr>
        <w:t xml:space="preserve"> de 20</w:t>
      </w:r>
      <w:r w:rsidR="001D7D82">
        <w:rPr>
          <w:rFonts w:ascii="Arial" w:hAnsi="Arial" w:cs="Arial"/>
          <w:sz w:val="24"/>
          <w:szCs w:val="24"/>
        </w:rPr>
        <w:t>2</w:t>
      </w:r>
      <w:r w:rsidR="004831CB">
        <w:rPr>
          <w:rFonts w:ascii="Arial" w:hAnsi="Arial" w:cs="Arial"/>
          <w:sz w:val="24"/>
          <w:szCs w:val="24"/>
        </w:rPr>
        <w:t>2</w:t>
      </w:r>
      <w:r w:rsidRPr="009D7CFA">
        <w:rPr>
          <w:rFonts w:ascii="Arial" w:hAnsi="Arial" w:cs="Arial"/>
          <w:sz w:val="24"/>
          <w:szCs w:val="24"/>
        </w:rPr>
        <w:t>.</w:t>
      </w:r>
    </w:p>
    <w:p w:rsid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0"/>
          <w:szCs w:val="20"/>
        </w:rPr>
      </w:pPr>
    </w:p>
    <w:p w:rsidR="001D7D82" w:rsidRDefault="001D7D82" w:rsidP="006A7483">
      <w:pPr>
        <w:spacing w:after="0" w:line="240" w:lineRule="auto"/>
        <w:ind w:right="760"/>
        <w:jc w:val="both"/>
        <w:rPr>
          <w:rFonts w:ascii="Arial" w:hAnsi="Arial" w:cs="Arial"/>
          <w:sz w:val="20"/>
          <w:szCs w:val="20"/>
        </w:rPr>
      </w:pPr>
    </w:p>
    <w:p w:rsidR="001D7D82" w:rsidRPr="001D7D82" w:rsidRDefault="001D7D82" w:rsidP="001D7D82">
      <w:pPr>
        <w:spacing w:after="0" w:line="240" w:lineRule="auto"/>
        <w:jc w:val="center"/>
        <w:rPr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rPr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spellStart"/>
      <w:r w:rsidRPr="001D7D82">
        <w:rPr>
          <w:rFonts w:ascii="Arial" w:hAnsi="Arial" w:cs="Arial"/>
          <w:sz w:val="24"/>
          <w:szCs w:val="24"/>
        </w:rPr>
        <w:t>Gervino</w:t>
      </w:r>
      <w:proofErr w:type="spellEnd"/>
      <w:r w:rsidRPr="001D7D82">
        <w:rPr>
          <w:rFonts w:ascii="Arial" w:hAnsi="Arial" w:cs="Arial"/>
          <w:sz w:val="24"/>
          <w:szCs w:val="24"/>
        </w:rPr>
        <w:t xml:space="preserve"> Cláudio Gonçalves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                                            Presidente</w:t>
      </w:r>
    </w:p>
    <w:p w:rsidR="001D7D82" w:rsidRPr="001D7D82" w:rsidRDefault="001D7D82" w:rsidP="001D7D82">
      <w:pPr>
        <w:spacing w:after="0" w:line="240" w:lineRule="auto"/>
        <w:rPr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Luís Santos Pereira Filho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1D7D82">
        <w:rPr>
          <w:rFonts w:ascii="Arial" w:hAnsi="Arial" w:cs="Arial"/>
          <w:sz w:val="24"/>
          <w:szCs w:val="24"/>
        </w:rPr>
        <w:t xml:space="preserve">      Fausto Salvador Peres                            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   1º Vice-Presidente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1D7D82">
        <w:rPr>
          <w:rFonts w:ascii="Arial" w:hAnsi="Arial" w:cs="Arial"/>
          <w:sz w:val="24"/>
          <w:szCs w:val="24"/>
        </w:rPr>
        <w:t xml:space="preserve">        2º Vice-Presidente               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D7D82">
        <w:rPr>
          <w:rFonts w:ascii="Arial" w:hAnsi="Arial" w:cs="Arial"/>
          <w:sz w:val="24"/>
          <w:szCs w:val="24"/>
        </w:rPr>
        <w:t xml:space="preserve">       Cícero João da Silva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1D7D82">
        <w:rPr>
          <w:rFonts w:ascii="Arial" w:hAnsi="Arial" w:cs="Arial"/>
          <w:sz w:val="24"/>
          <w:szCs w:val="24"/>
        </w:rPr>
        <w:t xml:space="preserve">                   Fábio </w:t>
      </w:r>
      <w:proofErr w:type="spellStart"/>
      <w:r w:rsidRPr="001D7D82">
        <w:rPr>
          <w:rFonts w:ascii="Arial" w:hAnsi="Arial" w:cs="Arial"/>
          <w:sz w:val="24"/>
          <w:szCs w:val="24"/>
        </w:rPr>
        <w:t>Simoa</w:t>
      </w:r>
      <w:proofErr w:type="spellEnd"/>
      <w:r w:rsidRPr="001D7D82">
        <w:rPr>
          <w:rFonts w:ascii="Arial" w:hAnsi="Arial" w:cs="Arial"/>
          <w:sz w:val="24"/>
          <w:szCs w:val="24"/>
        </w:rPr>
        <w:t xml:space="preserve"> Mendes do Carmo Leite                                    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  3º Vice-Presidente                                           1º Secretário                                                            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Pr="001D7D82" w:rsidRDefault="001D7D82" w:rsidP="001D7D8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  João </w:t>
      </w:r>
      <w:proofErr w:type="spellStart"/>
      <w:r w:rsidRPr="001D7D82">
        <w:rPr>
          <w:rFonts w:ascii="Arial" w:hAnsi="Arial" w:cs="Arial"/>
          <w:sz w:val="24"/>
          <w:szCs w:val="24"/>
        </w:rPr>
        <w:t>Donizeti</w:t>
      </w:r>
      <w:proofErr w:type="spellEnd"/>
      <w:r w:rsidRPr="001D7D82">
        <w:rPr>
          <w:rFonts w:ascii="Arial" w:hAnsi="Arial" w:cs="Arial"/>
          <w:sz w:val="24"/>
          <w:szCs w:val="24"/>
        </w:rPr>
        <w:t xml:space="preserve"> Silvestre                          </w:t>
      </w:r>
      <w:proofErr w:type="spellStart"/>
      <w:r w:rsidRPr="001D7D82">
        <w:rPr>
          <w:rFonts w:ascii="Arial" w:hAnsi="Arial" w:cs="Arial"/>
          <w:sz w:val="24"/>
          <w:szCs w:val="24"/>
        </w:rPr>
        <w:t>Antonio</w:t>
      </w:r>
      <w:proofErr w:type="spellEnd"/>
      <w:r w:rsidRPr="001D7D82">
        <w:rPr>
          <w:rFonts w:ascii="Arial" w:hAnsi="Arial" w:cs="Arial"/>
          <w:sz w:val="24"/>
          <w:szCs w:val="24"/>
        </w:rPr>
        <w:t xml:space="preserve"> Carlos Silvano Júnior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1D7D82">
        <w:rPr>
          <w:rFonts w:ascii="Arial" w:hAnsi="Arial" w:cs="Arial"/>
          <w:sz w:val="24"/>
          <w:szCs w:val="24"/>
        </w:rPr>
        <w:t xml:space="preserve">                  2º Secretário                                             3º Secretário</w:t>
      </w:r>
    </w:p>
    <w:p w:rsidR="001D7D82" w:rsidRPr="001D7D82" w:rsidRDefault="001D7D82" w:rsidP="001D7D82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1D7D82" w:rsidRDefault="001D7D82" w:rsidP="001D7D82">
      <w:pPr>
        <w:spacing w:line="240" w:lineRule="auto"/>
        <w:ind w:right="760"/>
        <w:jc w:val="both"/>
        <w:rPr>
          <w:rFonts w:ascii="Arial" w:hAnsi="Arial" w:cs="Arial"/>
        </w:rPr>
      </w:pPr>
    </w:p>
    <w:p w:rsidR="00A6109C" w:rsidRPr="008C36ED" w:rsidRDefault="00A6109C" w:rsidP="006A7483">
      <w:pPr>
        <w:spacing w:after="0" w:line="240" w:lineRule="auto"/>
        <w:ind w:right="760"/>
        <w:jc w:val="both"/>
        <w:rPr>
          <w:rFonts w:ascii="Arial" w:hAnsi="Arial" w:cs="Arial"/>
        </w:rPr>
      </w:pPr>
    </w:p>
    <w:p w:rsid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FC33EA" w:rsidRDefault="00FC33EA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C33EA" w:rsidSect="00300B8A">
      <w:headerReference w:type="default" r:id="rId9"/>
      <w:type w:val="continuous"/>
      <w:pgSz w:w="11906" w:h="16838"/>
      <w:pgMar w:top="1985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D8" w:rsidRDefault="00D635D8" w:rsidP="00BD3224">
      <w:pPr>
        <w:spacing w:after="0" w:line="240" w:lineRule="auto"/>
      </w:pPr>
      <w:r>
        <w:separator/>
      </w:r>
    </w:p>
  </w:endnote>
  <w:endnote w:type="continuationSeparator" w:id="0">
    <w:p w:rsidR="00D635D8" w:rsidRDefault="00D635D8" w:rsidP="00BD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D8" w:rsidRDefault="00D635D8" w:rsidP="00BD3224">
      <w:pPr>
        <w:spacing w:after="0" w:line="240" w:lineRule="auto"/>
      </w:pPr>
      <w:r>
        <w:separator/>
      </w:r>
    </w:p>
  </w:footnote>
  <w:footnote w:type="continuationSeparator" w:id="0">
    <w:p w:rsidR="00D635D8" w:rsidRDefault="00D635D8" w:rsidP="00BD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24" w:rsidRDefault="00BD322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95D38A" wp14:editId="3CE10E01">
          <wp:simplePos x="0" y="0"/>
          <wp:positionH relativeFrom="column">
            <wp:posOffset>-532765</wp:posOffset>
          </wp:positionH>
          <wp:positionV relativeFrom="paragraph">
            <wp:posOffset>-286385</wp:posOffset>
          </wp:positionV>
          <wp:extent cx="6690995" cy="1131570"/>
          <wp:effectExtent l="0" t="0" r="0" b="0"/>
          <wp:wrapNone/>
          <wp:docPr id="15" name="Imagem 1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3224" w:rsidRDefault="00BD32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994"/>
    <w:multiLevelType w:val="hybridMultilevel"/>
    <w:tmpl w:val="3430760A"/>
    <w:lvl w:ilvl="0" w:tplc="C52CD1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7482"/>
    <w:multiLevelType w:val="hybridMultilevel"/>
    <w:tmpl w:val="B79C66C0"/>
    <w:lvl w:ilvl="0" w:tplc="E3C8F196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656F"/>
    <w:multiLevelType w:val="hybridMultilevel"/>
    <w:tmpl w:val="D988EBC8"/>
    <w:lvl w:ilvl="0" w:tplc="976CB2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3588"/>
    <w:multiLevelType w:val="hybridMultilevel"/>
    <w:tmpl w:val="E90CEFA4"/>
    <w:lvl w:ilvl="0" w:tplc="EE7A76D2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12D9"/>
    <w:multiLevelType w:val="hybridMultilevel"/>
    <w:tmpl w:val="D674B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32F6"/>
    <w:multiLevelType w:val="hybridMultilevel"/>
    <w:tmpl w:val="B4DE2618"/>
    <w:lvl w:ilvl="0" w:tplc="8E20C8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43FF"/>
    <w:multiLevelType w:val="hybridMultilevel"/>
    <w:tmpl w:val="351CE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28AD"/>
    <w:multiLevelType w:val="hybridMultilevel"/>
    <w:tmpl w:val="3AC044E6"/>
    <w:lvl w:ilvl="0" w:tplc="F00A6A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3CD4"/>
    <w:multiLevelType w:val="hybridMultilevel"/>
    <w:tmpl w:val="8864ED74"/>
    <w:lvl w:ilvl="0" w:tplc="1220A5BC">
      <w:start w:val="1"/>
      <w:numFmt w:val="lowerLetter"/>
      <w:lvlText w:val="%1)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5AE3F04"/>
    <w:multiLevelType w:val="hybridMultilevel"/>
    <w:tmpl w:val="6C8E065A"/>
    <w:lvl w:ilvl="0" w:tplc="A8C405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D6F85"/>
    <w:multiLevelType w:val="hybridMultilevel"/>
    <w:tmpl w:val="FA2A9F6C"/>
    <w:lvl w:ilvl="0" w:tplc="4F68C4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65873"/>
    <w:multiLevelType w:val="hybridMultilevel"/>
    <w:tmpl w:val="3E9A222E"/>
    <w:lvl w:ilvl="0" w:tplc="A3F8DC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E693A"/>
    <w:multiLevelType w:val="hybridMultilevel"/>
    <w:tmpl w:val="96C47E20"/>
    <w:lvl w:ilvl="0" w:tplc="7D7ED5FA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70515"/>
    <w:multiLevelType w:val="hybridMultilevel"/>
    <w:tmpl w:val="9A94C846"/>
    <w:lvl w:ilvl="0" w:tplc="505C3DC8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93AAD"/>
    <w:multiLevelType w:val="hybridMultilevel"/>
    <w:tmpl w:val="6CFEC924"/>
    <w:lvl w:ilvl="0" w:tplc="C1D6DC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02E95"/>
    <w:multiLevelType w:val="multilevel"/>
    <w:tmpl w:val="986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E0DC1"/>
    <w:multiLevelType w:val="hybridMultilevel"/>
    <w:tmpl w:val="2FB21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74B45"/>
    <w:multiLevelType w:val="hybridMultilevel"/>
    <w:tmpl w:val="4F4A55CA"/>
    <w:lvl w:ilvl="0" w:tplc="3FAC2030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9"/>
  </w:num>
  <w:num w:numId="12">
    <w:abstractNumId w:val="11"/>
  </w:num>
  <w:num w:numId="13">
    <w:abstractNumId w:val="0"/>
  </w:num>
  <w:num w:numId="14">
    <w:abstractNumId w:val="14"/>
  </w:num>
  <w:num w:numId="15">
    <w:abstractNumId w:val="5"/>
  </w:num>
  <w:num w:numId="16">
    <w:abstractNumId w:val="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87"/>
    <w:rsid w:val="00014647"/>
    <w:rsid w:val="0001797A"/>
    <w:rsid w:val="00046C1D"/>
    <w:rsid w:val="0006047B"/>
    <w:rsid w:val="00072000"/>
    <w:rsid w:val="000A0314"/>
    <w:rsid w:val="000E0C0E"/>
    <w:rsid w:val="000E54F1"/>
    <w:rsid w:val="000F0AF6"/>
    <w:rsid w:val="000F422F"/>
    <w:rsid w:val="000F46E3"/>
    <w:rsid w:val="00120243"/>
    <w:rsid w:val="001217CE"/>
    <w:rsid w:val="00151555"/>
    <w:rsid w:val="00176CBA"/>
    <w:rsid w:val="001812EB"/>
    <w:rsid w:val="00195C60"/>
    <w:rsid w:val="001A3D7D"/>
    <w:rsid w:val="001B1BAF"/>
    <w:rsid w:val="001D7D82"/>
    <w:rsid w:val="001F7F1D"/>
    <w:rsid w:val="002055C4"/>
    <w:rsid w:val="0024262D"/>
    <w:rsid w:val="00253878"/>
    <w:rsid w:val="00255FD9"/>
    <w:rsid w:val="002B037B"/>
    <w:rsid w:val="002B2230"/>
    <w:rsid w:val="002D3B68"/>
    <w:rsid w:val="002D5551"/>
    <w:rsid w:val="002E6095"/>
    <w:rsid w:val="002E645D"/>
    <w:rsid w:val="00300B8A"/>
    <w:rsid w:val="003078CC"/>
    <w:rsid w:val="00311A34"/>
    <w:rsid w:val="00323176"/>
    <w:rsid w:val="00324D2B"/>
    <w:rsid w:val="00330BA2"/>
    <w:rsid w:val="00376665"/>
    <w:rsid w:val="0039642E"/>
    <w:rsid w:val="003C3B92"/>
    <w:rsid w:val="00413C89"/>
    <w:rsid w:val="004177A4"/>
    <w:rsid w:val="00423149"/>
    <w:rsid w:val="00427070"/>
    <w:rsid w:val="00427DF1"/>
    <w:rsid w:val="00480D6A"/>
    <w:rsid w:val="00481A66"/>
    <w:rsid w:val="004831CB"/>
    <w:rsid w:val="00485D56"/>
    <w:rsid w:val="00490A80"/>
    <w:rsid w:val="00493185"/>
    <w:rsid w:val="004A5ED3"/>
    <w:rsid w:val="004B4CEE"/>
    <w:rsid w:val="004B77D7"/>
    <w:rsid w:val="004D739A"/>
    <w:rsid w:val="00516582"/>
    <w:rsid w:val="00535864"/>
    <w:rsid w:val="00547E34"/>
    <w:rsid w:val="00570AB7"/>
    <w:rsid w:val="005731A5"/>
    <w:rsid w:val="00577F30"/>
    <w:rsid w:val="005A4404"/>
    <w:rsid w:val="005A629A"/>
    <w:rsid w:val="005C38AC"/>
    <w:rsid w:val="005C5AF0"/>
    <w:rsid w:val="005D3F0A"/>
    <w:rsid w:val="005E211D"/>
    <w:rsid w:val="005F00AD"/>
    <w:rsid w:val="006233B9"/>
    <w:rsid w:val="006247B1"/>
    <w:rsid w:val="00625C9D"/>
    <w:rsid w:val="006338FB"/>
    <w:rsid w:val="006405B9"/>
    <w:rsid w:val="006708A7"/>
    <w:rsid w:val="006A25C7"/>
    <w:rsid w:val="006A7483"/>
    <w:rsid w:val="006D7510"/>
    <w:rsid w:val="006E254B"/>
    <w:rsid w:val="006E774B"/>
    <w:rsid w:val="006F212A"/>
    <w:rsid w:val="006F27C4"/>
    <w:rsid w:val="00700D3C"/>
    <w:rsid w:val="00705571"/>
    <w:rsid w:val="007065F9"/>
    <w:rsid w:val="0072721E"/>
    <w:rsid w:val="00733933"/>
    <w:rsid w:val="00754B78"/>
    <w:rsid w:val="00767A71"/>
    <w:rsid w:val="007808A5"/>
    <w:rsid w:val="00791B2F"/>
    <w:rsid w:val="007A49C1"/>
    <w:rsid w:val="007B5113"/>
    <w:rsid w:val="007B6587"/>
    <w:rsid w:val="007C5311"/>
    <w:rsid w:val="007F3E8E"/>
    <w:rsid w:val="007F7EAF"/>
    <w:rsid w:val="0080154E"/>
    <w:rsid w:val="008030DC"/>
    <w:rsid w:val="008110EE"/>
    <w:rsid w:val="008212B7"/>
    <w:rsid w:val="008218E1"/>
    <w:rsid w:val="008245D6"/>
    <w:rsid w:val="008446D9"/>
    <w:rsid w:val="008602D8"/>
    <w:rsid w:val="00875E6E"/>
    <w:rsid w:val="008826F8"/>
    <w:rsid w:val="00886061"/>
    <w:rsid w:val="008B0DDB"/>
    <w:rsid w:val="008B565D"/>
    <w:rsid w:val="008C36ED"/>
    <w:rsid w:val="008D11A5"/>
    <w:rsid w:val="008F0129"/>
    <w:rsid w:val="00911482"/>
    <w:rsid w:val="00911A57"/>
    <w:rsid w:val="00942DB9"/>
    <w:rsid w:val="00957538"/>
    <w:rsid w:val="00960DAE"/>
    <w:rsid w:val="00967FC2"/>
    <w:rsid w:val="00971675"/>
    <w:rsid w:val="009840D9"/>
    <w:rsid w:val="0099437A"/>
    <w:rsid w:val="00996C38"/>
    <w:rsid w:val="009C0730"/>
    <w:rsid w:val="009D1B98"/>
    <w:rsid w:val="009D70C8"/>
    <w:rsid w:val="009D7CFA"/>
    <w:rsid w:val="009E20B0"/>
    <w:rsid w:val="009E2D38"/>
    <w:rsid w:val="009E5308"/>
    <w:rsid w:val="009E6FEC"/>
    <w:rsid w:val="009F2082"/>
    <w:rsid w:val="009F42FB"/>
    <w:rsid w:val="00A065F9"/>
    <w:rsid w:val="00A0710B"/>
    <w:rsid w:val="00A137A2"/>
    <w:rsid w:val="00A2696B"/>
    <w:rsid w:val="00A27ECB"/>
    <w:rsid w:val="00A32450"/>
    <w:rsid w:val="00A6109C"/>
    <w:rsid w:val="00A70AE0"/>
    <w:rsid w:val="00A93EA0"/>
    <w:rsid w:val="00AA3B99"/>
    <w:rsid w:val="00AB69A0"/>
    <w:rsid w:val="00AB7D5A"/>
    <w:rsid w:val="00AD0827"/>
    <w:rsid w:val="00AD1EDD"/>
    <w:rsid w:val="00AD5175"/>
    <w:rsid w:val="00AE19B8"/>
    <w:rsid w:val="00AF3930"/>
    <w:rsid w:val="00B01C5A"/>
    <w:rsid w:val="00B03522"/>
    <w:rsid w:val="00B122A4"/>
    <w:rsid w:val="00B21365"/>
    <w:rsid w:val="00B26261"/>
    <w:rsid w:val="00B2770E"/>
    <w:rsid w:val="00B322AA"/>
    <w:rsid w:val="00B351F8"/>
    <w:rsid w:val="00B6509D"/>
    <w:rsid w:val="00B80E8C"/>
    <w:rsid w:val="00B82371"/>
    <w:rsid w:val="00BC11DF"/>
    <w:rsid w:val="00BC4334"/>
    <w:rsid w:val="00BD02D1"/>
    <w:rsid w:val="00BD3224"/>
    <w:rsid w:val="00BD4334"/>
    <w:rsid w:val="00C04605"/>
    <w:rsid w:val="00C05200"/>
    <w:rsid w:val="00C213D5"/>
    <w:rsid w:val="00C8010C"/>
    <w:rsid w:val="00CA30A8"/>
    <w:rsid w:val="00CC4B98"/>
    <w:rsid w:val="00CD1A62"/>
    <w:rsid w:val="00CE2EF5"/>
    <w:rsid w:val="00D021F0"/>
    <w:rsid w:val="00D635D8"/>
    <w:rsid w:val="00D7149B"/>
    <w:rsid w:val="00D9056F"/>
    <w:rsid w:val="00D938FD"/>
    <w:rsid w:val="00DB4099"/>
    <w:rsid w:val="00DD55CB"/>
    <w:rsid w:val="00DE7858"/>
    <w:rsid w:val="00DF5FD2"/>
    <w:rsid w:val="00E0241C"/>
    <w:rsid w:val="00E1181E"/>
    <w:rsid w:val="00E1383A"/>
    <w:rsid w:val="00E216EC"/>
    <w:rsid w:val="00E31908"/>
    <w:rsid w:val="00E42C91"/>
    <w:rsid w:val="00E433EC"/>
    <w:rsid w:val="00E63B6C"/>
    <w:rsid w:val="00E86D83"/>
    <w:rsid w:val="00EB1B59"/>
    <w:rsid w:val="00EC371D"/>
    <w:rsid w:val="00EC6D65"/>
    <w:rsid w:val="00ED25EC"/>
    <w:rsid w:val="00ED6456"/>
    <w:rsid w:val="00ED659F"/>
    <w:rsid w:val="00EE2FC0"/>
    <w:rsid w:val="00F1519E"/>
    <w:rsid w:val="00F157BA"/>
    <w:rsid w:val="00F271B2"/>
    <w:rsid w:val="00F4191C"/>
    <w:rsid w:val="00F46DF5"/>
    <w:rsid w:val="00F53050"/>
    <w:rsid w:val="00F55293"/>
    <w:rsid w:val="00F6005F"/>
    <w:rsid w:val="00F6189C"/>
    <w:rsid w:val="00F633FB"/>
    <w:rsid w:val="00F720A7"/>
    <w:rsid w:val="00F82D48"/>
    <w:rsid w:val="00F95018"/>
    <w:rsid w:val="00FA6C69"/>
    <w:rsid w:val="00FC09A9"/>
    <w:rsid w:val="00FC33EA"/>
    <w:rsid w:val="00FD5A7C"/>
    <w:rsid w:val="00FD6059"/>
    <w:rsid w:val="00FE2550"/>
    <w:rsid w:val="00FF0733"/>
    <w:rsid w:val="00FF42AE"/>
    <w:rsid w:val="00FF4419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FBB03-E9C4-423B-B1B6-B98AB580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0C"/>
  </w:style>
  <w:style w:type="paragraph" w:styleId="Ttulo1">
    <w:name w:val="heading 1"/>
    <w:basedOn w:val="Normal"/>
    <w:link w:val="Ttulo1Char"/>
    <w:qFormat/>
    <w:rsid w:val="002D5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D55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D55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5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F7290"/>
  </w:style>
  <w:style w:type="table" w:styleId="Tabelacomgrade">
    <w:name w:val="Table Grid"/>
    <w:basedOn w:val="Tabelanormal"/>
    <w:uiPriority w:val="59"/>
    <w:rsid w:val="002B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D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224"/>
  </w:style>
  <w:style w:type="paragraph" w:styleId="Rodap">
    <w:name w:val="footer"/>
    <w:basedOn w:val="Normal"/>
    <w:link w:val="RodapChar"/>
    <w:uiPriority w:val="99"/>
    <w:unhideWhenUsed/>
    <w:rsid w:val="00BD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224"/>
  </w:style>
  <w:style w:type="paragraph" w:styleId="PargrafodaLista">
    <w:name w:val="List Paragraph"/>
    <w:basedOn w:val="Normal"/>
    <w:uiPriority w:val="34"/>
    <w:qFormat/>
    <w:rsid w:val="0012024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D55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D555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2D555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2D55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D55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D7CF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A3B99"/>
    <w:rPr>
      <w:i/>
      <w:iCs/>
    </w:rPr>
  </w:style>
  <w:style w:type="character" w:styleId="Forte">
    <w:name w:val="Strong"/>
    <w:basedOn w:val="Fontepargpadro"/>
    <w:uiPriority w:val="22"/>
    <w:qFormat/>
    <w:rsid w:val="00D938F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0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0557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f.jus.br/portal/jurisprudenciaRepercussao/verAndamentoProcesso.asp?incidente=4115555&amp;numeroProcesso=650898&amp;classeProcesso=RE&amp;numeroTema=4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1902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usuario temp</cp:lastModifiedBy>
  <cp:revision>13</cp:revision>
  <cp:lastPrinted>2022-10-19T13:21:00Z</cp:lastPrinted>
  <dcterms:created xsi:type="dcterms:W3CDTF">2019-10-16T11:23:00Z</dcterms:created>
  <dcterms:modified xsi:type="dcterms:W3CDTF">2022-10-19T17:27:00Z</dcterms:modified>
</cp:coreProperties>
</file>