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7" w:rsidRDefault="00C356C8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="00C10863" w:rsidRP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</w:t>
      </w:r>
      <w:r w:rsidR="00951E3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/2023</w:t>
      </w:r>
      <w:r w:rsid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.</w:t>
      </w:r>
    </w:p>
    <w:p w:rsidR="00E25A4A" w:rsidRPr="00E25A4A" w:rsidRDefault="00E25A4A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617607" w:rsidRDefault="00E25A4A" w:rsidP="00E25A4A">
      <w:pPr>
        <w:spacing w:line="360" w:lineRule="auto"/>
        <w:ind w:left="4248" w:right="-2"/>
        <w:jc w:val="both"/>
        <w:rPr>
          <w:rFonts w:ascii="Book Antiqua" w:hAnsi="Book Antiqua" w:cs="Courier New"/>
          <w:b/>
          <w:i/>
          <w:color w:val="000000" w:themeColor="text1"/>
          <w:sz w:val="24"/>
          <w:szCs w:val="20"/>
        </w:rPr>
      </w:pPr>
      <w:r w:rsidRPr="00E25A4A">
        <w:rPr>
          <w:rStyle w:val="MquinadeescreverHTML3"/>
          <w:rFonts w:ascii="Book Antiqua" w:eastAsiaTheme="minorHAnsi" w:hAnsi="Book Antiqua"/>
          <w:b/>
          <w:i/>
          <w:color w:val="000000" w:themeColor="text1"/>
          <w:sz w:val="24"/>
        </w:rPr>
        <w:t>“</w:t>
      </w:r>
      <w:r w:rsidRPr="00E25A4A">
        <w:rPr>
          <w:rFonts w:ascii="Book Antiqua" w:hAnsi="Book Antiqua" w:cs="Courier New"/>
          <w:b/>
          <w:i/>
          <w:color w:val="000000" w:themeColor="text1"/>
          <w:sz w:val="24"/>
          <w:szCs w:val="20"/>
        </w:rPr>
        <w:t xml:space="preserve">Institui, no calendário oficial do Município, o Dia do Sociólogo e dá outras providências”. </w:t>
      </w:r>
    </w:p>
    <w:p w:rsidR="00E25A4A" w:rsidRPr="00E25A4A" w:rsidRDefault="00E25A4A" w:rsidP="00E25A4A">
      <w:pPr>
        <w:spacing w:line="360" w:lineRule="auto"/>
        <w:ind w:left="4248" w:right="-2"/>
        <w:jc w:val="both"/>
        <w:rPr>
          <w:rFonts w:ascii="Book Antiqua" w:hAnsi="Book Antiqua" w:cs="Courier New"/>
          <w:b/>
          <w:i/>
          <w:color w:val="000000" w:themeColor="text1"/>
          <w:sz w:val="24"/>
          <w:szCs w:val="20"/>
        </w:rPr>
      </w:pPr>
    </w:p>
    <w:p w:rsidR="00617607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Art. 1º.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Fica instituído no calendário oficial de e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ventos no Município de Sorocaba,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 “Dia do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Sociólogo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>”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, que será comemorado na data de 10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dezembro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:rsidR="00617607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Art. 2º.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As despesas de</w:t>
      </w:r>
      <w:r w:rsidR="00DB4803" w:rsidRPr="00E25A4A">
        <w:rPr>
          <w:rFonts w:ascii="Book Antiqua" w:hAnsi="Book Antiqua" w:cs="Times New Roman"/>
          <w:color w:val="000000" w:themeColor="text1"/>
          <w:sz w:val="24"/>
          <w:szCs w:val="24"/>
        </w:rPr>
        <w:t>correntes da execução desta Lei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correrão por conta de </w:t>
      </w:r>
      <w:r w:rsidR="00C10863" w:rsidRPr="00E25A4A">
        <w:rPr>
          <w:rFonts w:ascii="Book Antiqua" w:hAnsi="Book Antiqua" w:cs="Times New Roman"/>
          <w:color w:val="000000" w:themeColor="text1"/>
          <w:sz w:val="24"/>
          <w:szCs w:val="24"/>
        </w:rPr>
        <w:t>dotações orçamentárias próprias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:rsidR="001F4FA9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Art. 3º.</w:t>
      </w:r>
      <w:r w:rsidR="00617607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Esta Lei entra em vigor na data de sua publicação.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A755AF" w:rsidRPr="00E25A4A" w:rsidRDefault="00951E33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21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março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E25A4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A755AF" w:rsidRPr="00A755AF" w:rsidRDefault="00A755AF" w:rsidP="00A755AF">
      <w:pPr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56C8" w:rsidRPr="00C356C8" w:rsidRDefault="00C356C8" w:rsidP="00C356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356C8" w:rsidRDefault="00C356C8" w:rsidP="00C356C8">
      <w:pPr>
        <w:spacing w:line="360" w:lineRule="auto"/>
        <w:jc w:val="both"/>
      </w:pPr>
    </w:p>
    <w:p w:rsidR="00617607" w:rsidRDefault="00617607" w:rsidP="00C356C8">
      <w:pPr>
        <w:spacing w:line="360" w:lineRule="auto"/>
        <w:jc w:val="both"/>
      </w:pPr>
    </w:p>
    <w:p w:rsidR="00C10863" w:rsidRDefault="00C10863" w:rsidP="00C356C8">
      <w:pPr>
        <w:spacing w:line="360" w:lineRule="auto"/>
        <w:jc w:val="both"/>
      </w:pPr>
    </w:p>
    <w:p w:rsidR="00C10863" w:rsidRDefault="00C10863" w:rsidP="00C356C8">
      <w:pPr>
        <w:spacing w:line="360" w:lineRule="auto"/>
        <w:jc w:val="both"/>
      </w:pPr>
    </w:p>
    <w:p w:rsidR="00E25A4A" w:rsidRDefault="00E25A4A" w:rsidP="00C356C8">
      <w:pPr>
        <w:spacing w:line="360" w:lineRule="auto"/>
        <w:jc w:val="both"/>
      </w:pPr>
    </w:p>
    <w:p w:rsidR="00617607" w:rsidRPr="00C10863" w:rsidRDefault="00617607" w:rsidP="00C356C8">
      <w:pPr>
        <w:spacing w:line="360" w:lineRule="auto"/>
        <w:jc w:val="both"/>
        <w:rPr>
          <w:rFonts w:ascii="Book Antiqua" w:hAnsi="Book Antiqua"/>
        </w:rPr>
      </w:pPr>
    </w:p>
    <w:p w:rsidR="00E25A4A" w:rsidRPr="00E25A4A" w:rsidRDefault="00C356C8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951E33" w:rsidRPr="00951E33" w:rsidRDefault="00E25A4A" w:rsidP="00E25A4A">
      <w:pPr>
        <w:spacing w:line="360" w:lineRule="auto"/>
        <w:ind w:firstLine="708"/>
        <w:jc w:val="both"/>
        <w:rPr>
          <w:rFonts w:ascii="Book Antiqua" w:hAnsi="Book Antiqua" w:cs="Courier New"/>
          <w:color w:val="000000" w:themeColor="text1"/>
          <w:sz w:val="24"/>
          <w:szCs w:val="24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>Submeto à elevada apreciação plenária o presente projeto de lei que i</w:t>
      </w:r>
      <w:r w:rsidRPr="00E25A4A">
        <w:rPr>
          <w:rFonts w:ascii="Book Antiqua" w:hAnsi="Book Antiqua" w:cs="Courier New"/>
          <w:color w:val="000000" w:themeColor="text1"/>
          <w:sz w:val="24"/>
          <w:szCs w:val="24"/>
        </w:rPr>
        <w:t>nstitui, no calendário oficial do Município, o Dia do Sociólogo</w:t>
      </w:r>
      <w:r w:rsidR="00951E33">
        <w:rPr>
          <w:rFonts w:ascii="Book Antiqua" w:hAnsi="Book Antiqua" w:cs="Courier New"/>
          <w:color w:val="000000" w:themeColor="text1"/>
          <w:sz w:val="24"/>
          <w:szCs w:val="24"/>
        </w:rPr>
        <w:t xml:space="preserve">, que nos foi apresentado diretamente pelo Primeiro Vice-presidente da </w:t>
      </w:r>
      <w:r w:rsidR="00951E33" w:rsidRPr="00951E33">
        <w:rPr>
          <w:rFonts w:ascii="Book Antiqua" w:hAnsi="Book Antiqua" w:cs="Courier New"/>
          <w:color w:val="000000" w:themeColor="text1"/>
          <w:sz w:val="24"/>
          <w:szCs w:val="24"/>
        </w:rPr>
        <w:t>ANASO - Associação Nacional dos Sociólogos e Sociólogas</w:t>
      </w:r>
      <w:r w:rsidR="00951E33">
        <w:rPr>
          <w:rFonts w:ascii="Book Antiqua" w:hAnsi="Book Antiqua" w:cs="Courier New"/>
          <w:color w:val="000000" w:themeColor="text1"/>
          <w:sz w:val="24"/>
          <w:szCs w:val="24"/>
        </w:rPr>
        <w:t xml:space="preserve">, Ilustríssimo Sr. Mateus Rosa </w:t>
      </w:r>
      <w:proofErr w:type="spellStart"/>
      <w:r w:rsidR="00951E33">
        <w:rPr>
          <w:rFonts w:ascii="Book Antiqua" w:hAnsi="Book Antiqua" w:cs="Courier New"/>
          <w:color w:val="000000" w:themeColor="text1"/>
          <w:sz w:val="24"/>
          <w:szCs w:val="24"/>
        </w:rPr>
        <w:t>Tognella</w:t>
      </w:r>
      <w:proofErr w:type="spellEnd"/>
      <w:r w:rsidR="00951E33">
        <w:rPr>
          <w:rFonts w:ascii="Book Antiqua" w:hAnsi="Book Antiqua" w:cs="Courier New"/>
          <w:color w:val="000000" w:themeColor="text1"/>
          <w:sz w:val="24"/>
          <w:szCs w:val="24"/>
        </w:rPr>
        <w:t xml:space="preserve">. </w:t>
      </w:r>
    </w:p>
    <w:p w:rsidR="00E25A4A" w:rsidRDefault="00E25A4A" w:rsidP="00E25A4A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O sociólogo desenvolve e utiliza um conjunto variado de técnicas e métodos de pesquisa para o estudo das coletividades humanas e interpreta os problemas da sociedade, da política e da cultura. 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Este profissional atua nas áreas de ensino, pesquisa e planejamento, além de dar consultoria e assessoria a ONGs, empresas privadas e públicas, partidos políticos e associações profissionais, entre outras entidades. 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>A sua formação tem matriz em Ciências Sociais e é estruturada tendo como eixos principais três grandes áreas: sociologia, antropologia e ciência política.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>No mundo atual, em que o homem está voltado para a individualidade e vem perdendo a compreensão global de sua intervenção na história, a sociologia desempenha um papel muito importante: propiciar uma ótica integrada da vida humana e social.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>Pretendo, através da aprovação da presente proposta, homenagear os sociólogos que atuam em nosso Município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de Sorocaba</w:t>
      </w:r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>A data eleita relaciona-se à sanção presidencial à </w:t>
      </w:r>
      <w:hyperlink r:id="rId7" w:tgtFrame="_blank" w:history="1">
        <w:r w:rsidRPr="00E25A4A">
          <w:rPr>
            <w:rFonts w:ascii="Book Antiqua" w:hAnsi="Book Antiqua"/>
            <w:color w:val="000000" w:themeColor="text1"/>
            <w:sz w:val="24"/>
            <w:szCs w:val="24"/>
          </w:rPr>
          <w:t>Lei 6.888 de 10 de dezembro de 1980</w:t>
        </w:r>
      </w:hyperlink>
      <w:r w:rsidRPr="00E25A4A">
        <w:rPr>
          <w:rFonts w:ascii="Book Antiqua" w:hAnsi="Book Antiqua"/>
          <w:color w:val="000000" w:themeColor="text1"/>
          <w:sz w:val="24"/>
          <w:szCs w:val="24"/>
        </w:rPr>
        <w:t>, que reconhece a profissão liberal de Sociólogo no Brasil. 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Com relação à legalidade, a jurisprudência do E. Tribunal de Justiça deste Estado já afirmou ser possível a mera criação de data comemorativa por lei de iniciativa parlamentar. </w:t>
      </w:r>
    </w:p>
    <w:p w:rsidR="00E25A4A" w:rsidRPr="00E25A4A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Nesse sentido é o entendimento assentado pelo </w:t>
      </w:r>
      <w:proofErr w:type="spellStart"/>
      <w:r w:rsidRPr="00E25A4A">
        <w:rPr>
          <w:rFonts w:ascii="Book Antiqua" w:hAnsi="Book Antiqua"/>
          <w:color w:val="000000" w:themeColor="text1"/>
          <w:sz w:val="24"/>
          <w:szCs w:val="24"/>
        </w:rPr>
        <w:t>Eg</w:t>
      </w:r>
      <w:proofErr w:type="spellEnd"/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. Órgão Especial do Tribunal de Justiça: </w:t>
      </w:r>
      <w:r w:rsidRPr="00E25A4A">
        <w:rPr>
          <w:rFonts w:ascii="Book Antiqua" w:hAnsi="Book Antiqua"/>
          <w:b/>
          <w:i/>
          <w:color w:val="000000" w:themeColor="text1"/>
          <w:sz w:val="24"/>
          <w:szCs w:val="24"/>
        </w:rPr>
        <w:t>“... a criação de datas comemorativas é matéria abrangida pela competência legislativa da Câmara dos Vereadores.”</w:t>
      </w:r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25A4A">
        <w:rPr>
          <w:rFonts w:ascii="Book Antiqua" w:hAnsi="Book Antiqua"/>
          <w:color w:val="000000" w:themeColor="text1"/>
          <w:sz w:val="24"/>
          <w:szCs w:val="24"/>
        </w:rPr>
        <w:t>ADIn</w:t>
      </w:r>
      <w:proofErr w:type="spellEnd"/>
      <w:proofErr w:type="gramEnd"/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 nº 2.241.247-21.2015.8.26.0000 </w:t>
      </w:r>
      <w:proofErr w:type="spellStart"/>
      <w:r w:rsidRPr="00E25A4A">
        <w:rPr>
          <w:rFonts w:ascii="Book Antiqua" w:hAnsi="Book Antiqua"/>
          <w:color w:val="000000" w:themeColor="text1"/>
          <w:sz w:val="24"/>
          <w:szCs w:val="24"/>
        </w:rPr>
        <w:t>v.u.</w:t>
      </w:r>
      <w:proofErr w:type="spellEnd"/>
      <w:r w:rsidRPr="00E25A4A">
        <w:rPr>
          <w:rFonts w:ascii="Book Antiqua" w:hAnsi="Book Antiqua"/>
          <w:color w:val="000000" w:themeColor="text1"/>
          <w:sz w:val="24"/>
          <w:szCs w:val="24"/>
        </w:rPr>
        <w:t xml:space="preserve"> j. de 02.03.16 Rel. Des. MÁRCIO BARTOLI). </w:t>
      </w:r>
    </w:p>
    <w:p w:rsidR="00E25A4A" w:rsidRPr="00E25A4A" w:rsidRDefault="00E25A4A" w:rsidP="00E25A4A">
      <w:pPr>
        <w:jc w:val="both"/>
        <w:rPr>
          <w:rFonts w:ascii="Book Antiqua" w:hAnsi="Book Antiqua"/>
          <w:color w:val="000000" w:themeColor="text1"/>
          <w:sz w:val="24"/>
        </w:rPr>
      </w:pPr>
      <w:r>
        <w:tab/>
      </w:r>
      <w:r w:rsidRPr="00E25A4A">
        <w:rPr>
          <w:rFonts w:ascii="Book Antiqua" w:hAnsi="Book Antiqua"/>
          <w:color w:val="000000" w:themeColor="text1"/>
          <w:sz w:val="24"/>
        </w:rPr>
        <w:t xml:space="preserve">Nessa mesma direção é o seguinte precedente: </w:t>
      </w:r>
    </w:p>
    <w:p w:rsidR="00E25A4A" w:rsidRPr="00E25A4A" w:rsidRDefault="00E25A4A" w:rsidP="00E25A4A">
      <w:pPr>
        <w:tabs>
          <w:tab w:val="left" w:pos="708"/>
        </w:tabs>
        <w:spacing w:after="0" w:line="360" w:lineRule="auto"/>
        <w:ind w:left="1418" w:right="9"/>
        <w:jc w:val="both"/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</w:pPr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 xml:space="preserve">“Ação Direta de Inconstitucionalidade. Lei n° 951, de 28 de janeiro de 2011, do Município de Bertioga. </w:t>
      </w:r>
      <w:r w:rsidRPr="00E25A4A">
        <w:rPr>
          <w:rStyle w:val="MquinadeescreverHTML3"/>
          <w:rFonts w:ascii="Book Antiqua" w:eastAsiaTheme="minorHAnsi" w:hAnsi="Book Antiqua"/>
          <w:b/>
          <w:i/>
          <w:color w:val="000000" w:themeColor="text1"/>
          <w:sz w:val="24"/>
          <w:szCs w:val="24"/>
        </w:rPr>
        <w:t>Norma que institui o "Dia do Guarda Municipal" e dá outras providências. Ato normativo que cuida de matéria de interesse local. Mera criação de data comemorativa. Constitucionalidade reconhecida</w:t>
      </w:r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>. Não ocorrência de vício de iniciativa do projeto de lei por Vereador. Norma editada que não estabelece medidas relacionadas à organização da administração pública, nem cria deveres diversos daqueles genéricos ou mesmo despesas extraordinárias</w:t>
      </w:r>
      <w:r w:rsidRPr="00E25A4A">
        <w:rPr>
          <w:rStyle w:val="MquinadeescreverHTML3"/>
          <w:rFonts w:ascii="Book Antiqua" w:eastAsiaTheme="minorHAnsi" w:hAnsi="Book Antiqua"/>
          <w:b/>
          <w:i/>
          <w:color w:val="000000" w:themeColor="text1"/>
          <w:sz w:val="24"/>
          <w:szCs w:val="24"/>
        </w:rPr>
        <w:t>. Ação Direta de Inconstitucionalidade julgada improcedente</w:t>
      </w:r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>.” (</w:t>
      </w:r>
      <w:proofErr w:type="spellStart"/>
      <w:proofErr w:type="gramStart"/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>ADIn</w:t>
      </w:r>
      <w:proofErr w:type="spellEnd"/>
      <w:proofErr w:type="gramEnd"/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 xml:space="preserve"> nº 0.088.292-10.2013.8.26.0000 </w:t>
      </w:r>
      <w:proofErr w:type="spellStart"/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>v.u.</w:t>
      </w:r>
      <w:proofErr w:type="spellEnd"/>
      <w:r w:rsidRPr="00E25A4A">
        <w:rPr>
          <w:rStyle w:val="MquinadeescreverHTML3"/>
          <w:rFonts w:ascii="Book Antiqua" w:eastAsiaTheme="minorHAnsi" w:hAnsi="Book Antiqua"/>
          <w:i/>
          <w:color w:val="000000" w:themeColor="text1"/>
          <w:sz w:val="24"/>
          <w:szCs w:val="24"/>
        </w:rPr>
        <w:t xml:space="preserve"> j. de 31.07.13 Rel. Des. KIOITSI CHICUTA).</w:t>
      </w:r>
    </w:p>
    <w:p w:rsidR="006973D2" w:rsidRPr="00E25A4A" w:rsidRDefault="00E25A4A" w:rsidP="00E25A4A">
      <w:pPr>
        <w:spacing w:line="360" w:lineRule="auto"/>
        <w:jc w:val="both"/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</w:pPr>
      <w:r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ab/>
      </w:r>
      <w:r w:rsidRPr="00E25A4A"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>Ante ao exposto, espero contar com o imprescindível apoio dos nobres pares na aprovação da presente proposição.</w:t>
      </w:r>
    </w:p>
    <w:p w:rsidR="00E25A4A" w:rsidRPr="00E25A4A" w:rsidRDefault="00E25A4A" w:rsidP="00E25A4A">
      <w:pPr>
        <w:tabs>
          <w:tab w:val="left" w:pos="708"/>
        </w:tabs>
        <w:spacing w:after="0" w:line="360" w:lineRule="auto"/>
        <w:ind w:right="9" w:firstLine="1418"/>
        <w:jc w:val="both"/>
        <w:rPr>
          <w:rFonts w:ascii="Spranq eco sans" w:hAnsi="Spranq eco sans" w:cs="Courier New"/>
          <w:color w:val="000000" w:themeColor="text1"/>
          <w:sz w:val="20"/>
          <w:szCs w:val="20"/>
        </w:rPr>
      </w:pPr>
    </w:p>
    <w:p w:rsidR="00A755AF" w:rsidRPr="00E25A4A" w:rsidRDefault="00C10863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951E33">
        <w:rPr>
          <w:rFonts w:ascii="Book Antiqua" w:hAnsi="Book Antiqua" w:cs="Times New Roman"/>
          <w:color w:val="000000" w:themeColor="text1"/>
          <w:sz w:val="24"/>
          <w:szCs w:val="24"/>
        </w:rPr>
        <w:t>21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951E33">
        <w:rPr>
          <w:rFonts w:ascii="Book Antiqua" w:hAnsi="Book Antiqua" w:cs="Times New Roman"/>
          <w:color w:val="000000" w:themeColor="text1"/>
          <w:sz w:val="24"/>
          <w:szCs w:val="24"/>
        </w:rPr>
        <w:t>março</w:t>
      </w:r>
      <w:r w:rsidR="00E25A4A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="00951E33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A755AF" w:rsidRPr="00E25A4A" w:rsidSect="009E0A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B0" w:rsidRDefault="00F70FB0" w:rsidP="008C617C">
      <w:pPr>
        <w:spacing w:after="0" w:line="240" w:lineRule="auto"/>
      </w:pPr>
      <w:r>
        <w:separator/>
      </w:r>
    </w:p>
  </w:endnote>
  <w:endnote w:type="continuationSeparator" w:id="0">
    <w:p w:rsidR="00F70FB0" w:rsidRDefault="00F70FB0" w:rsidP="008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B0" w:rsidRDefault="00F70FB0" w:rsidP="008C617C">
      <w:pPr>
        <w:spacing w:after="0" w:line="240" w:lineRule="auto"/>
      </w:pPr>
      <w:r>
        <w:separator/>
      </w:r>
    </w:p>
  </w:footnote>
  <w:footnote w:type="continuationSeparator" w:id="0">
    <w:p w:rsidR="00F70FB0" w:rsidRDefault="00F70FB0" w:rsidP="008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7C" w:rsidRDefault="008C61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-49530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686"/>
    <w:multiLevelType w:val="multilevel"/>
    <w:tmpl w:val="F77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88B"/>
    <w:multiLevelType w:val="hybridMultilevel"/>
    <w:tmpl w:val="CDEC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31C9A"/>
    <w:multiLevelType w:val="multilevel"/>
    <w:tmpl w:val="0DD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356C8"/>
    <w:rsid w:val="00057216"/>
    <w:rsid w:val="0005791A"/>
    <w:rsid w:val="00071A3E"/>
    <w:rsid w:val="00116CB7"/>
    <w:rsid w:val="001475F2"/>
    <w:rsid w:val="001F4FA9"/>
    <w:rsid w:val="002D23FD"/>
    <w:rsid w:val="00324394"/>
    <w:rsid w:val="003502E3"/>
    <w:rsid w:val="00390B9B"/>
    <w:rsid w:val="00392D00"/>
    <w:rsid w:val="003B5D9E"/>
    <w:rsid w:val="00423D00"/>
    <w:rsid w:val="00444D6D"/>
    <w:rsid w:val="004626AB"/>
    <w:rsid w:val="00464049"/>
    <w:rsid w:val="004E233B"/>
    <w:rsid w:val="00545574"/>
    <w:rsid w:val="005748BB"/>
    <w:rsid w:val="00584C1A"/>
    <w:rsid w:val="00617607"/>
    <w:rsid w:val="006335A0"/>
    <w:rsid w:val="00640B36"/>
    <w:rsid w:val="00680B7A"/>
    <w:rsid w:val="00690A99"/>
    <w:rsid w:val="00693AFF"/>
    <w:rsid w:val="006973D2"/>
    <w:rsid w:val="006C2A99"/>
    <w:rsid w:val="006F2E5D"/>
    <w:rsid w:val="008B50E8"/>
    <w:rsid w:val="008C617C"/>
    <w:rsid w:val="008E1DEC"/>
    <w:rsid w:val="00951E33"/>
    <w:rsid w:val="00994C42"/>
    <w:rsid w:val="009D02BC"/>
    <w:rsid w:val="009D4913"/>
    <w:rsid w:val="009E0AD8"/>
    <w:rsid w:val="00A755AF"/>
    <w:rsid w:val="00AD4AAD"/>
    <w:rsid w:val="00B23802"/>
    <w:rsid w:val="00B5121C"/>
    <w:rsid w:val="00C10863"/>
    <w:rsid w:val="00C25554"/>
    <w:rsid w:val="00C27345"/>
    <w:rsid w:val="00C356C8"/>
    <w:rsid w:val="00C442D7"/>
    <w:rsid w:val="00C7558A"/>
    <w:rsid w:val="00C83FBA"/>
    <w:rsid w:val="00C84F1F"/>
    <w:rsid w:val="00D616B0"/>
    <w:rsid w:val="00D61840"/>
    <w:rsid w:val="00D6610F"/>
    <w:rsid w:val="00D84CF8"/>
    <w:rsid w:val="00D96227"/>
    <w:rsid w:val="00DA2CE7"/>
    <w:rsid w:val="00DA5997"/>
    <w:rsid w:val="00DB4803"/>
    <w:rsid w:val="00DD26F0"/>
    <w:rsid w:val="00E25A4A"/>
    <w:rsid w:val="00E626F1"/>
    <w:rsid w:val="00E6413D"/>
    <w:rsid w:val="00E947B3"/>
    <w:rsid w:val="00EE0F25"/>
    <w:rsid w:val="00F00D91"/>
    <w:rsid w:val="00F102FA"/>
    <w:rsid w:val="00F70FB0"/>
    <w:rsid w:val="00F7493E"/>
    <w:rsid w:val="00FA04A0"/>
    <w:rsid w:val="00FA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D8"/>
  </w:style>
  <w:style w:type="paragraph" w:styleId="Ttulo1">
    <w:name w:val="heading 1"/>
    <w:basedOn w:val="Normal"/>
    <w:link w:val="Ttulo1Char"/>
    <w:uiPriority w:val="9"/>
    <w:qFormat/>
    <w:rsid w:val="0061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  <w:style w:type="character" w:customStyle="1" w:styleId="Ttulo1Char">
    <w:name w:val="Título 1 Char"/>
    <w:basedOn w:val="Fontepargpadro"/>
    <w:link w:val="Ttulo1"/>
    <w:uiPriority w:val="9"/>
    <w:rsid w:val="006176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390B9B"/>
    <w:rPr>
      <w:i/>
      <w:iCs/>
    </w:rPr>
  </w:style>
  <w:style w:type="character" w:styleId="Forte">
    <w:name w:val="Strong"/>
    <w:basedOn w:val="Fontepargpadro"/>
    <w:uiPriority w:val="22"/>
    <w:qFormat/>
    <w:rsid w:val="00390B9B"/>
    <w:rPr>
      <w:b/>
      <w:bCs/>
    </w:rPr>
  </w:style>
  <w:style w:type="paragraph" w:styleId="NormalWeb">
    <w:name w:val="Normal (Web)"/>
    <w:basedOn w:val="Normal"/>
    <w:uiPriority w:val="99"/>
    <w:unhideWhenUsed/>
    <w:rsid w:val="0039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73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3FBA"/>
    <w:pPr>
      <w:ind w:left="720"/>
      <w:contextualSpacing/>
    </w:pPr>
  </w:style>
  <w:style w:type="character" w:customStyle="1" w:styleId="MquinadeescreverHTML3">
    <w:name w:val="Máquina de escrever HTML3"/>
    <w:basedOn w:val="Fontepargpadro"/>
    <w:rsid w:val="00E25A4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1980-1988/L688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Gandolfe</dc:creator>
  <cp:lastModifiedBy>gabinete05</cp:lastModifiedBy>
  <cp:revision>2</cp:revision>
  <cp:lastPrinted>2021-02-03T17:45:00Z</cp:lastPrinted>
  <dcterms:created xsi:type="dcterms:W3CDTF">2023-03-21T13:44:00Z</dcterms:created>
  <dcterms:modified xsi:type="dcterms:W3CDTF">2023-03-21T13:44:00Z</dcterms:modified>
</cp:coreProperties>
</file>