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3D" w:rsidRDefault="004C0E3D" w:rsidP="004C0E3D">
      <w:pPr>
        <w:spacing w:line="360" w:lineRule="auto"/>
        <w:jc w:val="center"/>
        <w:rPr>
          <w:rFonts w:ascii="Book Antiqua" w:hAnsi="Book Antiqua"/>
          <w:b/>
          <w:smallCaps/>
          <w:color w:val="000000" w:themeColor="text1"/>
          <w:sz w:val="24"/>
          <w:szCs w:val="24"/>
        </w:rPr>
      </w:pPr>
    </w:p>
    <w:p w:rsidR="004C0E3D" w:rsidRPr="008655DB" w:rsidRDefault="004C0E3D" w:rsidP="004C0E3D">
      <w:pPr>
        <w:spacing w:line="360" w:lineRule="auto"/>
        <w:jc w:val="center"/>
        <w:rPr>
          <w:rFonts w:ascii="Book Antiqua" w:hAnsi="Book Antiqua"/>
          <w:b/>
          <w:smallCaps/>
          <w:color w:val="000000" w:themeColor="text1"/>
          <w:sz w:val="24"/>
          <w:szCs w:val="24"/>
        </w:rPr>
      </w:pPr>
      <w:r w:rsidRPr="008655DB">
        <w:rPr>
          <w:rFonts w:ascii="Book Antiqua" w:hAnsi="Book Antiqua"/>
          <w:b/>
          <w:smallCaps/>
          <w:color w:val="000000" w:themeColor="text1"/>
          <w:sz w:val="24"/>
          <w:szCs w:val="24"/>
        </w:rPr>
        <w:t xml:space="preserve">PROJETO DE LEI Nº </w:t>
      </w:r>
      <w:bookmarkStart w:id="0" w:name="_GoBack"/>
      <w:bookmarkEnd w:id="0"/>
      <w:r w:rsidRPr="008655DB">
        <w:rPr>
          <w:rFonts w:ascii="Book Antiqua" w:hAnsi="Book Antiqua"/>
          <w:b/>
          <w:smallCaps/>
          <w:color w:val="000000" w:themeColor="text1"/>
          <w:sz w:val="24"/>
          <w:szCs w:val="24"/>
        </w:rPr>
        <w:t>___________/2023.</w:t>
      </w:r>
    </w:p>
    <w:p w:rsidR="004C0E3D" w:rsidRPr="008655DB" w:rsidRDefault="004C0E3D" w:rsidP="004C0E3D">
      <w:pPr>
        <w:spacing w:line="360" w:lineRule="auto"/>
        <w:ind w:firstLine="2835"/>
        <w:rPr>
          <w:rFonts w:ascii="Book Antiqua" w:hAnsi="Book Antiqua"/>
          <w:color w:val="000000" w:themeColor="text1"/>
          <w:sz w:val="24"/>
          <w:szCs w:val="24"/>
        </w:rPr>
      </w:pPr>
    </w:p>
    <w:p w:rsidR="004C0E3D" w:rsidRPr="008655DB" w:rsidRDefault="004C0E3D" w:rsidP="004C0E3D">
      <w:pPr>
        <w:tabs>
          <w:tab w:val="left" w:pos="3394"/>
        </w:tabs>
        <w:spacing w:line="360" w:lineRule="auto"/>
        <w:ind w:left="360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8655DB">
        <w:rPr>
          <w:rFonts w:ascii="Book Antiqua" w:hAnsi="Book Antiqua"/>
          <w:b/>
          <w:color w:val="000000" w:themeColor="text1"/>
          <w:sz w:val="24"/>
          <w:szCs w:val="24"/>
        </w:rPr>
        <w:t>“</w:t>
      </w:r>
      <w:r w:rsidRPr="008655DB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INSTITUI COMO PATRIMÔNIO CULTURAL MATERIAL DA CIDADE DE SOROCABA, O MOSTEIRO DE SÃO BENTO DE SOROCABA E A IGREJA DE SANT’ANNA, E DÁ OUTRAS PROVIDÊNCIAS.” </w:t>
      </w:r>
    </w:p>
    <w:p w:rsidR="004C0E3D" w:rsidRPr="008655DB" w:rsidRDefault="004C0E3D" w:rsidP="004C0E3D">
      <w:pPr>
        <w:pStyle w:val="Cabealho"/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</w:p>
    <w:p w:rsidR="004C0E3D" w:rsidRPr="008655DB" w:rsidRDefault="004C0E3D" w:rsidP="004C0E3D">
      <w:pPr>
        <w:pStyle w:val="Cabealho"/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  <w:r w:rsidRPr="008655DB">
        <w:rPr>
          <w:rFonts w:ascii="Book Antiqua" w:hAnsi="Book Antiqua"/>
          <w:color w:val="000000" w:themeColor="text1"/>
          <w:szCs w:val="24"/>
        </w:rPr>
        <w:t>Art. 1º. Fica</w:t>
      </w:r>
      <w:r w:rsidR="008655DB" w:rsidRPr="008655DB">
        <w:rPr>
          <w:rFonts w:ascii="Book Antiqua" w:hAnsi="Book Antiqua"/>
          <w:color w:val="000000" w:themeColor="text1"/>
          <w:szCs w:val="24"/>
        </w:rPr>
        <w:t>m</w:t>
      </w:r>
      <w:r w:rsidRPr="008655DB">
        <w:rPr>
          <w:rFonts w:ascii="Book Antiqua" w:hAnsi="Book Antiqua"/>
          <w:color w:val="000000" w:themeColor="text1"/>
          <w:szCs w:val="24"/>
        </w:rPr>
        <w:t xml:space="preserve"> instituíd</w:t>
      </w:r>
      <w:r w:rsidR="006D617E" w:rsidRPr="008655DB">
        <w:rPr>
          <w:rFonts w:ascii="Book Antiqua" w:hAnsi="Book Antiqua"/>
          <w:color w:val="000000" w:themeColor="text1"/>
          <w:szCs w:val="24"/>
        </w:rPr>
        <w:t>o</w:t>
      </w:r>
      <w:r w:rsidR="008655DB" w:rsidRPr="008655DB">
        <w:rPr>
          <w:rFonts w:ascii="Book Antiqua" w:hAnsi="Book Antiqua"/>
          <w:color w:val="000000" w:themeColor="text1"/>
          <w:szCs w:val="24"/>
        </w:rPr>
        <w:t>s</w:t>
      </w:r>
      <w:r w:rsidRPr="008655DB">
        <w:rPr>
          <w:rFonts w:ascii="Book Antiqua" w:hAnsi="Book Antiqua"/>
          <w:color w:val="000000" w:themeColor="text1"/>
          <w:szCs w:val="24"/>
        </w:rPr>
        <w:t xml:space="preserve"> como Patrimônio Cultural </w:t>
      </w:r>
      <w:r w:rsidR="006D617E" w:rsidRPr="008655DB">
        <w:rPr>
          <w:rFonts w:ascii="Book Antiqua" w:hAnsi="Book Antiqua"/>
          <w:color w:val="000000" w:themeColor="text1"/>
          <w:szCs w:val="24"/>
        </w:rPr>
        <w:t>M</w:t>
      </w:r>
      <w:r w:rsidRPr="008655DB">
        <w:rPr>
          <w:rFonts w:ascii="Book Antiqua" w:hAnsi="Book Antiqua"/>
          <w:color w:val="000000" w:themeColor="text1"/>
          <w:szCs w:val="24"/>
        </w:rPr>
        <w:t>aterial da cidade de Sorocaba, o Mosteiro de São Bento de Sorocaba e a Igreja de Sant’Anna.</w:t>
      </w:r>
    </w:p>
    <w:p w:rsidR="004C0E3D" w:rsidRPr="008655DB" w:rsidRDefault="004C0E3D" w:rsidP="004C0E3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655DB">
        <w:rPr>
          <w:rFonts w:ascii="Book Antiqua" w:hAnsi="Book Antiqua"/>
          <w:color w:val="000000" w:themeColor="text1"/>
          <w:sz w:val="24"/>
          <w:szCs w:val="24"/>
        </w:rPr>
        <w:tab/>
      </w:r>
      <w:r w:rsidRPr="008655DB">
        <w:rPr>
          <w:rFonts w:ascii="Book Antiqua" w:hAnsi="Book Antiqua"/>
          <w:color w:val="000000" w:themeColor="text1"/>
          <w:sz w:val="24"/>
          <w:szCs w:val="24"/>
        </w:rPr>
        <w:tab/>
      </w:r>
      <w:r w:rsidRPr="008655DB">
        <w:rPr>
          <w:rFonts w:ascii="Book Antiqua" w:hAnsi="Book Antiqua"/>
          <w:color w:val="000000" w:themeColor="text1"/>
          <w:sz w:val="24"/>
          <w:szCs w:val="24"/>
        </w:rPr>
        <w:tab/>
      </w:r>
      <w:r w:rsidRPr="008655DB">
        <w:rPr>
          <w:rFonts w:ascii="Book Antiqua" w:hAnsi="Book Antiqua"/>
          <w:color w:val="000000" w:themeColor="text1"/>
          <w:sz w:val="24"/>
          <w:szCs w:val="24"/>
        </w:rPr>
        <w:tab/>
      </w:r>
    </w:p>
    <w:p w:rsidR="004C0E3D" w:rsidRPr="008655DB" w:rsidRDefault="004C0E3D" w:rsidP="004C0E3D">
      <w:pPr>
        <w:pStyle w:val="Cabealho"/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  <w:r w:rsidRPr="008655DB">
        <w:rPr>
          <w:rFonts w:ascii="Book Antiqua" w:hAnsi="Book Antiqua"/>
          <w:color w:val="000000" w:themeColor="text1"/>
          <w:szCs w:val="24"/>
        </w:rPr>
        <w:t>Art. 2º. As despesas com a execução da presente Lei correrão por conta de verba orçamentária própria.</w:t>
      </w:r>
    </w:p>
    <w:p w:rsidR="004C0E3D" w:rsidRPr="008655DB" w:rsidRDefault="004C0E3D" w:rsidP="004C0E3D">
      <w:pPr>
        <w:pStyle w:val="Cabealho"/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</w:p>
    <w:p w:rsidR="004C0E3D" w:rsidRPr="008655DB" w:rsidRDefault="004C0E3D" w:rsidP="004C0E3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655DB">
        <w:rPr>
          <w:rFonts w:ascii="Book Antiqua" w:hAnsi="Book Antiqua"/>
          <w:color w:val="000000" w:themeColor="text1"/>
          <w:sz w:val="24"/>
          <w:szCs w:val="24"/>
        </w:rPr>
        <w:tab/>
      </w:r>
      <w:r w:rsidRPr="008655DB">
        <w:rPr>
          <w:rFonts w:ascii="Book Antiqua" w:hAnsi="Book Antiqua"/>
          <w:color w:val="000000" w:themeColor="text1"/>
          <w:sz w:val="24"/>
          <w:szCs w:val="24"/>
        </w:rPr>
        <w:tab/>
      </w:r>
      <w:r w:rsidRPr="008655DB">
        <w:rPr>
          <w:rFonts w:ascii="Book Antiqua" w:hAnsi="Book Antiqua"/>
          <w:color w:val="000000" w:themeColor="text1"/>
          <w:sz w:val="24"/>
          <w:szCs w:val="24"/>
        </w:rPr>
        <w:tab/>
      </w:r>
      <w:r w:rsidRPr="008655DB">
        <w:rPr>
          <w:rFonts w:ascii="Book Antiqua" w:hAnsi="Book Antiqua"/>
          <w:color w:val="000000" w:themeColor="text1"/>
          <w:sz w:val="24"/>
          <w:szCs w:val="24"/>
        </w:rPr>
        <w:tab/>
      </w:r>
      <w:r w:rsidRPr="008655DB">
        <w:rPr>
          <w:rFonts w:ascii="Book Antiqua" w:hAnsi="Book Antiqua"/>
          <w:bCs/>
          <w:color w:val="000000" w:themeColor="text1"/>
          <w:sz w:val="24"/>
          <w:szCs w:val="24"/>
        </w:rPr>
        <w:t xml:space="preserve">Art. 3º. </w:t>
      </w:r>
      <w:r w:rsidRPr="008655DB">
        <w:rPr>
          <w:rFonts w:ascii="Book Antiqua" w:hAnsi="Book Antiqua"/>
          <w:color w:val="000000" w:themeColor="text1"/>
          <w:sz w:val="24"/>
          <w:szCs w:val="24"/>
        </w:rPr>
        <w:t>Esta lei entra em vigor na data de sua publicação.</w:t>
      </w:r>
    </w:p>
    <w:p w:rsidR="004C0E3D" w:rsidRPr="008655DB" w:rsidRDefault="004C0E3D" w:rsidP="004C0E3D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</w:p>
    <w:p w:rsidR="004C0E3D" w:rsidRPr="008655DB" w:rsidRDefault="004C0E3D" w:rsidP="004C0E3D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  <w:r w:rsidRPr="008655DB">
        <w:rPr>
          <w:rFonts w:ascii="Book Antiqua" w:hAnsi="Book Antiqua"/>
          <w:color w:val="000000" w:themeColor="text1"/>
          <w:szCs w:val="24"/>
        </w:rPr>
        <w:t>Sala das Sessões, 03 de abril de 2023.</w:t>
      </w:r>
    </w:p>
    <w:p w:rsidR="004C0E3D" w:rsidRPr="008655DB" w:rsidRDefault="004C0E3D" w:rsidP="004C0E3D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8655DB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4C0E3D" w:rsidRPr="008655DB" w:rsidRDefault="004C0E3D" w:rsidP="004C0E3D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8655DB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4C0E3D" w:rsidRPr="004C0E3D" w:rsidRDefault="004C0E3D" w:rsidP="004C0E3D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4C0E3D" w:rsidRPr="004C0E3D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4C0E3D" w:rsidRPr="004C0E3D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4C0E3D" w:rsidRPr="004C0E3D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4C0E3D" w:rsidRPr="004C0E3D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4C0E3D" w:rsidRPr="004C0E3D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4C0E3D" w:rsidRPr="004C0E3D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4C0E3D" w:rsidRPr="004C0E3D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4C0E3D" w:rsidRPr="004C0E3D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4C0E3D" w:rsidRPr="004C0E3D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  <w:t>JUSTIFICATIVA:</w:t>
      </w:r>
    </w:p>
    <w:p w:rsidR="00F678D5" w:rsidRPr="006D617E" w:rsidRDefault="00F678D5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“Um povo sem história é um povo sem memória. E um povo sem história está fadado a cometer, no presente e no futuro, os mesmos erros do passado”. A frase da historiadora Emília </w:t>
      </w:r>
      <w:proofErr w:type="spellStart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Viotti</w:t>
      </w:r>
      <w:proofErr w:type="spellEnd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da Costa, autora do clássico “Da Senzala à Colônia” mostra o quanto é imp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ortante o</w:t>
      </w:r>
      <w:r w:rsidR="004C0E3D"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 brasileiros conhecerem o seu p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atrimônio cultural material e imaterial.</w:t>
      </w:r>
    </w:p>
    <w:p w:rsidR="00F678D5" w:rsidRPr="006D617E" w:rsidRDefault="00F678D5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Baltazar Fernandes, Bandeirantes natural de São Paulo, filho de Manoel Fernandes, nobre e ex-governador dessa cidade, cansado das andanças pelos sertões, resolve assentar co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 toda sua família, a vida na vila por ele fundada, que viria chamar-se Sorocaba. Constrói casa de residência e a Capela de Nossa Senhora da Ponte, colocando nela a imagem que trouxe consigo.</w:t>
      </w:r>
    </w:p>
    <w:p w:rsidR="00F678D5" w:rsidRPr="006D617E" w:rsidRDefault="00F678D5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Querendo um progresso rápido para a nascente Vila</w:t>
      </w:r>
      <w:r w:rsidR="006D617E"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(1654)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, segue o exem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plo do seu irmão em Parnaíba, trazendo os Monges Beneditinos.</w:t>
      </w:r>
      <w:r w:rsidR="006D617E"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Em 1660, a Vila de Nossa Senhora da Ponte de Sorocaba, o primeiro núcleo urbano da cidade é doada aos beneditinos de Sant Anna do Parnaíba, com a condição de edificarem um convento ao seu lado, iniciado apenas em 1667, também de taipa de pilão.</w:t>
      </w:r>
    </w:p>
    <w:p w:rsidR="00F678D5" w:rsidRPr="006D617E" w:rsidRDefault="00F678D5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Os Monges seriam os professores de seus filhos, ensinando-lhes Canto e Latim, formando-os “Homens Bons”, como eram os que não exerciam profissões manuais, com exceção apenas da lavoura.</w:t>
      </w:r>
    </w:p>
    <w:p w:rsidR="00F678D5" w:rsidRPr="006D617E" w:rsidRDefault="00F678D5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Os 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Beneditinos dariam à população assistência religiosa, realizando batizados, casamentos</w:t>
      </w:r>
      <w:r w:rsidR="004C0E3D"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, ensinos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e assistindo aos moribundos. Dariam aos falecidos sufrágio por suas almas, para que pudessem gozar de um descanso eterno, sem serem esquecidos pelas orações dos vivo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s.</w:t>
      </w:r>
      <w:r w:rsidR="004C0E3D"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</w:p>
    <w:p w:rsidR="00F678D5" w:rsidRPr="006D617E" w:rsidRDefault="00F678D5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Interessante notar que a cidade de Sorocaba é a única das Américas a ser </w:t>
      </w:r>
      <w:proofErr w:type="gramStart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fundada a partir de um Mosteiro, o</w:t>
      </w:r>
      <w:proofErr w:type="gramEnd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 que na Europa não é exceção. </w:t>
      </w:r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  <w:highlight w:val="white"/>
        </w:rPr>
        <w:t xml:space="preserve">O Município teve sua fundação em 1654, e cresceu a partir do entorno do Mosteiro de São Bento e sua Igreja. </w:t>
      </w:r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E, mais</w:t>
      </w:r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, este é o único Mosteiro do mundo que manteve a sua originalidade, não tendo sido reconstruído desde a sua inauguração. </w:t>
      </w:r>
    </w:p>
    <w:p w:rsidR="00F678D5" w:rsidRPr="006D617E" w:rsidRDefault="00F678D5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Nós, portanto, devemos ao Mosteiro de São Bento de Sorocaba</w:t>
      </w:r>
      <w:r w:rsidR="006D617E"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e sua igreja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o que somos na atualidade! Mais de três séculos e meio se passaram, a vil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 se tornou cidade, está em pleno desenvolvimento e a caminho de se transformar em metrópole regional, e o Mosteiro está cada vez mais integrado à história de Sorocaba e de sua gente.</w:t>
      </w:r>
    </w:p>
    <w:p w:rsidR="00F678D5" w:rsidRPr="006D617E" w:rsidRDefault="00F678D5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O conjunto arquitetônico atual é composto pela igreja de </w:t>
      </w:r>
      <w:proofErr w:type="spellStart"/>
      <w:proofErr w:type="gramStart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Sant´Ana</w:t>
      </w:r>
      <w:proofErr w:type="spellEnd"/>
      <w:proofErr w:type="gramEnd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, Cape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la de São Judas Tadeu, Mosteiro de São Bento e a Gruta de Nossa Senhora de Lourdes. A igreja de </w:t>
      </w:r>
      <w:proofErr w:type="spellStart"/>
      <w:proofErr w:type="gramStart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Sant’Ana</w:t>
      </w:r>
      <w:proofErr w:type="spellEnd"/>
      <w:proofErr w:type="gramEnd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do Mosteiro de São Bento, foi a primeira igreja de Sorocaba, em torno da qual nasceu a bela cidade de hoje. 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No portal de entrada há a seguinte inscriçã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o: </w:t>
      </w:r>
      <w:proofErr w:type="spellStart"/>
      <w:r w:rsidRPr="006D617E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>Operi</w:t>
      </w:r>
      <w:proofErr w:type="spellEnd"/>
      <w:r w:rsidRPr="006D617E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 xml:space="preserve"> Dei </w:t>
      </w:r>
      <w:proofErr w:type="spellStart"/>
      <w:r w:rsidRPr="006D617E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>Nihil</w:t>
      </w:r>
      <w:proofErr w:type="spellEnd"/>
      <w:r w:rsidRPr="006D617E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6D617E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>Praeponatur</w:t>
      </w:r>
      <w:proofErr w:type="spellEnd"/>
      <w:r w:rsidRPr="006D617E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>,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 ou seja, "Nada se anteponha à obra de Deus</w:t>
      </w:r>
      <w:proofErr w:type="gramStart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"</w:t>
      </w:r>
      <w:proofErr w:type="gramEnd"/>
    </w:p>
    <w:p w:rsidR="00F678D5" w:rsidRPr="006D617E" w:rsidRDefault="00F678D5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Na igreja, construída em 1660, quando também teria sido erigido o atual Mosteiro, encontram-se os restos mortais de Baltazar Fernandes como de personagens importantes da antiga ci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dade. Construída em alvenaria de pedra, a igreja mantém as mesmas características adquiridas na reforma de 1725. Em seu interior, destaca-se o altar-mor, datado de 1817, cuja autoria é atribuída ao frei Jesuíno de Monte Carmelo. Em 1970, foi restaurada, pe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lo </w:t>
      </w:r>
      <w:proofErr w:type="spellStart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Iphan</w:t>
      </w:r>
      <w:proofErr w:type="spellEnd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e Condephaat, para a instalação do Museu de Arte Sacra.</w:t>
      </w:r>
    </w:p>
    <w:p w:rsidR="00F678D5" w:rsidRPr="006D617E" w:rsidRDefault="00F678D5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Desde então, o Mosteiro passou por numerosas reformas que na opinião de importantes historiadores não desfiguraram o arcabouço colonial.</w:t>
      </w: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lastRenderedPageBreak/>
        <w:br/>
        <w:t xml:space="preserve">Atualmente, </w:t>
      </w:r>
      <w:proofErr w:type="gramStart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toda a sociedade civil e religiosa estão</w:t>
      </w:r>
      <w:proofErr w:type="gramEnd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empenhadas em um projeto de restauro do Mosteiro. Esta restauração, consequentemente, faz parte da revitalização do centro histórico da cidade, beneficiando todo o município.</w:t>
      </w:r>
    </w:p>
    <w:p w:rsidR="00F678D5" w:rsidRPr="006D617E" w:rsidRDefault="00F678D5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Por outro lado, no que tange ao acervo do Mosteiro de São Bento de Sorocaba é riquíssimo! </w:t>
      </w:r>
    </w:p>
    <w:p w:rsidR="00F678D5" w:rsidRPr="006D617E" w:rsidRDefault="00F678D5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Nancy </w:t>
      </w:r>
      <w:proofErr w:type="spellStart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Ridel</w:t>
      </w:r>
      <w:proofErr w:type="spellEnd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Kaplan - Pós-doutora em História (2008), Doutora em História da Política, Memória e Cidade (2004) e Mestra em História da Arte e da Cultura (1998) pela 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Universidade Estadual de Campinas - lançou há alguns anos o Catálogo do Acervo do Mosteiro de São Bento de Sorocaba. </w:t>
      </w:r>
    </w:p>
    <w:p w:rsidR="00F678D5" w:rsidRPr="006D617E" w:rsidRDefault="00F678D5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O volume tem 64 páginas, impressas em papel </w:t>
      </w:r>
      <w:proofErr w:type="spellStart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couchê</w:t>
      </w:r>
      <w:proofErr w:type="spellEnd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e capa dura, no formato 268 mm x 218 mm. É ilustrado por ensaio com 26 fotos grandes, 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quase todas em cores, de Tiago Pelegrini Macambira, responsável também pela editoração eletrônica e capa.</w:t>
      </w:r>
    </w:p>
    <w:p w:rsidR="00F678D5" w:rsidRPr="006D617E" w:rsidRDefault="00F678D5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Assim, guiando-se por esta valiosa obra, podemos citar diversas peças de elevadíssima importância religiosa, histórica, cultural e social. Vejamos al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gumas delas: </w:t>
      </w:r>
    </w:p>
    <w:p w:rsidR="00F678D5" w:rsidRPr="006D617E" w:rsidRDefault="00F678D5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proofErr w:type="gramStart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1</w:t>
      </w:r>
      <w:proofErr w:type="gramEnd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) Senhor da Coluna (século XVIII, madeira policromada, alt. 148 cm.); </w:t>
      </w: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proofErr w:type="gramStart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2</w:t>
      </w:r>
      <w:proofErr w:type="gramEnd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) Senhor da Agonia (século XVIII, madeira policromada, alt. 300 cm.);</w:t>
      </w: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proofErr w:type="gramStart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3</w:t>
      </w:r>
      <w:proofErr w:type="gramEnd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) Crucifixo (século XVIII, madeira policromada e prata cinzelada, alt. 90 cm.);</w:t>
      </w: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proofErr w:type="gramStart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4</w:t>
      </w:r>
      <w:proofErr w:type="gramEnd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) Nossa Senhora do Pilar (século XVIII, madeira policromada, alt. 44 cm.);</w:t>
      </w:r>
    </w:p>
    <w:p w:rsidR="00F678D5" w:rsidRPr="006D617E" w:rsidRDefault="008655DB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5</w:t>
      </w:r>
      <w:proofErr w:type="gramEnd"/>
      <w:r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Sant’</w:t>
      </w:r>
      <w:r w:rsidR="00816766"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Ana</w:t>
      </w:r>
      <w:proofErr w:type="spellEnd"/>
      <w:r w:rsidR="00816766"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 </w:t>
      </w:r>
      <w:proofErr w:type="spellStart"/>
      <w:r w:rsidR="00816766"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Maestra</w:t>
      </w:r>
      <w:proofErr w:type="spellEnd"/>
      <w:r w:rsidR="00816766"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 e a Virgem menina (século XVIII, madeira policromada, alt. 110 cm.);</w:t>
      </w: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proofErr w:type="gramStart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6</w:t>
      </w:r>
      <w:proofErr w:type="gramEnd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) São Bento (século XVIII, madeira policromada, alt. 115 cm.);</w:t>
      </w: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proofErr w:type="gramStart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7</w:t>
      </w:r>
      <w:proofErr w:type="gramEnd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) Santa Escolástica (sécu</w:t>
      </w:r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lo XVIII, madeira policromada, alt. 115 cm.);</w:t>
      </w: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proofErr w:type="gramStart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8</w:t>
      </w:r>
      <w:proofErr w:type="gramEnd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) Santa Maria e São José (madeira policromada e alt. 130 cm., cada);</w:t>
      </w: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proofErr w:type="gramStart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lastRenderedPageBreak/>
        <w:t>9</w:t>
      </w:r>
      <w:proofErr w:type="gramEnd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) Pintura - Fuga para o Egito (óleo sobre tela, 180 x 270 cm);</w:t>
      </w: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proofErr w:type="gramStart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10)</w:t>
      </w:r>
      <w:proofErr w:type="gramEnd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 Pintura - Nossa Senhora com o Menino Jesus e São João Batista criança (ó</w:t>
      </w:r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leo sobre tela, 180 x 270 cm);</w:t>
      </w: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proofErr w:type="gramStart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11)</w:t>
      </w:r>
      <w:proofErr w:type="gramEnd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 Pintura - São João Baptista jovem no deserto (óleo sobre tela, 180 x 270 cm);</w:t>
      </w: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proofErr w:type="gramStart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12)</w:t>
      </w:r>
      <w:proofErr w:type="gramEnd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 Altar-mor - Cordeiro Místico, Sacrário - prata dourada;</w:t>
      </w: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proofErr w:type="gramStart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13)</w:t>
      </w:r>
      <w:proofErr w:type="gramEnd"/>
      <w:r w:rsidRPr="006D617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 Pintura - Agonia no Horto (óleo sobre tela, 180 x 270 cm).</w:t>
      </w:r>
    </w:p>
    <w:p w:rsidR="00F678D5" w:rsidRPr="006D617E" w:rsidRDefault="00F678D5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F678D5" w:rsidRPr="006D617E" w:rsidRDefault="00816766" w:rsidP="004C0E3D">
      <w:pPr>
        <w:pStyle w:val="normal0"/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O prédio é um dos bens tombados pelo Conselho de Defesa do Patrimônio Histórico Arqueológico, Artístico e Turístico – CONDEPHAAT, conforme é possível verificar nestes registros</w:t>
      </w:r>
      <w:r w:rsidR="004C0E3D"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 públicos: Número do Processo: 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20117</w:t>
      </w:r>
      <w:r w:rsidR="004C0E3D"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/76 - Resolução de Tombamento: 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Resolução 4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1 de 12/05/1982 - Livro do Tombo Histórico: inscrição nº 194, p. 47, 19/07/1982.</w:t>
      </w:r>
    </w:p>
    <w:p w:rsidR="00F678D5" w:rsidRPr="006D617E" w:rsidRDefault="00F678D5" w:rsidP="004C0E3D">
      <w:pPr>
        <w:pStyle w:val="normal0"/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</w:p>
    <w:p w:rsidR="00F678D5" w:rsidRPr="006D617E" w:rsidRDefault="00816766" w:rsidP="004C0E3D">
      <w:pPr>
        <w:pStyle w:val="normal0"/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Também é tombado pelo 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CMDP – Conselho Municipal de Defesa do Patrimônio Histórico, Artístico, Arquitetônico e Paisagístico de Sorocaba. Vide o Processo de Tombamento: Process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o nº 13.770/2003 - Resolução de Tombamento: Decreto nº R 206/2005 e R 41/1982.</w:t>
      </w:r>
    </w:p>
    <w:p w:rsidR="00F678D5" w:rsidRPr="006D617E" w:rsidRDefault="00F678D5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Porém, quem passa pelo Mosteiro de São Bento, no Largo do São Bento, no Centro de Sorocaba, há alguns anos, se depara sempre com o mesmo cenário. Isso porque as obras de restau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ração do prédio histórico, que começaram em 2005, com a aprovação do Conselho de Defesa do Patrimônio Histórico, Arqueológico, Artístico e Turístico (Condephaat), estão paralisadas desde 2020, quando foi entregue a restauração finalizada da Igreja de </w:t>
      </w:r>
      <w:proofErr w:type="spellStart"/>
      <w:proofErr w:type="gramStart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Sant’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Ana</w:t>
      </w:r>
      <w:proofErr w:type="spellEnd"/>
      <w:proofErr w:type="gramEnd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, que faz parte do complexo arquitetônico.</w:t>
      </w:r>
    </w:p>
    <w:p w:rsidR="00F678D5" w:rsidRPr="006D617E" w:rsidRDefault="00F678D5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after="240"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Atualmente, a área está protegida com tapumes e a fachada com o reboco aparente. As janelas também estão danificadas e a porta da frente do Mosteiro continua fechada. Para entrar na igreja, é preciso se dirigi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r até um portão que dá acesso à porta lateral.</w:t>
      </w: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after="240"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lastRenderedPageBreak/>
        <w:t xml:space="preserve">O templo passou por uma restauração artística que preservou as características originais da estrutura e das peças da igreja, incluindo altares laterais, arco do cruzeiro, altar mor e a douração do </w:t>
      </w:r>
      <w:proofErr w:type="spellStart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retábulo</w:t>
      </w:r>
      <w:proofErr w:type="spellEnd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, co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mo é chamada a estrutura de madeira ao fundo do altar.</w:t>
      </w: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after="240"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Atualmente, para finalizar toda a reforma faltam alguns reparos na parte elétrica, hidráulica, além da recuperação de lugares que estejam mais danificados, porém essa parte da restauração só será efeti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vada quando o Mosteiro conseguir o valor necessário para a recuperação da fachada do prédio.</w:t>
      </w: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after="240"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Para auxiliar neste processo que vem levando quase vinte anos, existe a Associação Amigos de São Bento foi fundada em 10 de dezembro de 2003, com sede no Largo de 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São Bento, 62, Centro, CEP: 18035-240, na cidade de Sorocaba - SP, inscrita no CNPJ sob o nº 06.059.983/0001-18, no 2º Oficial de Registro de Imóveis - Registro Civil de Pessoa Jurídica de Sorocaba, cuja finalidade principal é auxiliar na restauração compl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eta do edifício do Mosteiro de São Bento de Sorocaba e promover a valorização de sua história.</w:t>
      </w: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after="240"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Dentre suas muitas atribuições previstas no artigo 2º do seu Estatuto, temos a de arrecadar fundos e destiná-los exclusivamente e especificamente às obras física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s e intelectuais, direta ou indiretamente, relacionadas à restauração do Mosteiro e promoção de sua história.</w:t>
      </w: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after="240"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Ademais, na forma da Lei Municipal nº 8.180, de </w:t>
      </w:r>
      <w:proofErr w:type="gramStart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4</w:t>
      </w:r>
      <w:proofErr w:type="gramEnd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 de julho de 2007, ficou oficialmente declarada de Utilidade Pública, de conformidade com a Lei n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º 444, de 29 de agosto de 1956, com as alterações previstas pelas Leis sob nº 4.699, de 16 de dezembro de 1994 e 4.904, de 29 de agosto de 1995, a “Associação Amigos de São Bento”.</w:t>
      </w:r>
    </w:p>
    <w:p w:rsidR="00F678D5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after="240"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Diversas leis municipais, inclusive, chegaram a celebrar convênios diretame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nte com a Associação Amigos de São Bento objetivando beneficiar o Mosteiro de São Bento de Sorocaba em sua reforma de restauração, conforme é possível verificar na Lei 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lastRenderedPageBreak/>
        <w:t xml:space="preserve">Municipal nº 8.337/2007, Lei Municipal nº 9.219/2010, Lei Municipal nº 10.124/2012, Lei 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Municipal nº 10.751/2014.</w:t>
      </w:r>
    </w:p>
    <w:p w:rsidR="006D617E" w:rsidRPr="006D617E" w:rsidRDefault="006D617E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after="240"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Ainda, a Associação é composta por pessoas </w:t>
      </w:r>
      <w:proofErr w:type="gramStart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ilibadas, </w:t>
      </w:r>
      <w:r w:rsidRPr="006D617E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que desfrutam, no âmbito da sociedade, de reconhecida idoneidade moral</w:t>
      </w:r>
      <w:proofErr w:type="gramEnd"/>
      <w:r w:rsidRPr="006D617E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,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 como o Monge Beneditino Rocco </w:t>
      </w:r>
      <w:proofErr w:type="spellStart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Fraioli</w:t>
      </w:r>
      <w:proofErr w:type="spellEnd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; 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o Delegado de Polícia do Departamento de Polícia Judiciária Interior 7 - Sorocaba (</w:t>
      </w:r>
      <w:proofErr w:type="spellStart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Deinter</w:t>
      </w:r>
      <w:proofErr w:type="spellEnd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-7),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 Dr. Luis Lara; o advogado Dr. Lucas </w:t>
      </w:r>
      <w:proofErr w:type="spellStart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Gandolfe</w:t>
      </w:r>
      <w:proofErr w:type="spellEnd"/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, dentre inúmeras outras personalidades que colaboram, voluntariamente, direta ou indiretamente com este importante patrimônio de nossa cidade. </w:t>
      </w:r>
    </w:p>
    <w:p w:rsidR="004C0E3D" w:rsidRPr="006D617E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after="240"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É nesse sentido que, entendendo ser o</w:t>
      </w:r>
      <w:r w:rsidR="00816766"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 patrimônio material protegido </w:t>
      </w:r>
      <w:r w:rsidR="00816766"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composto por um conjunto de bens culturais classificados segundo sua natureza, podendo ser arqueológico, paisagístico e etnográfico; histórico; belas artes; e das artes aplicadas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, que o 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Mosteiro de São Bento e</w:t>
      </w:r>
      <w:r w:rsidR="006D617E"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a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Igreja de Sant’Anna necessitam ser acobertados por esta proteção através do presente projeto</w:t>
      </w:r>
      <w:r w:rsidR="006D617E" w:rsidRPr="006D617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de lei</w:t>
      </w:r>
      <w:r w:rsidR="00816766"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. </w:t>
      </w:r>
    </w:p>
    <w:p w:rsidR="00F678D5" w:rsidRPr="006D617E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after="240"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Lembramos </w:t>
      </w:r>
      <w:r w:rsidR="006D617E"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ainda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 que, a</w:t>
      </w:r>
      <w:r w:rsidR="00816766"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 Constituição F</w:t>
      </w:r>
      <w:r w:rsidR="00816766"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ederal de 1988, em seus artigos 215 e 216, ampliou a noção de patrimônio cultural ao reconhecer a existência de bens culturais de natureza material e imaterial e, também, ao estabelecer outras formas de preservação.</w:t>
      </w:r>
    </w:p>
    <w:p w:rsidR="004C0E3D" w:rsidRPr="006D617E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after="240"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É o caso do Mosteiro de São Bento de Sor</w:t>
      </w:r>
      <w:r w:rsidRPr="006D617E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ocaba!</w:t>
      </w:r>
    </w:p>
    <w:p w:rsidR="004C0E3D" w:rsidRPr="006D617E" w:rsidRDefault="004C0E3D" w:rsidP="004C0E3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6D617E">
        <w:rPr>
          <w:rFonts w:ascii="Book Antiqua" w:hAnsi="Book Antiqua"/>
          <w:color w:val="000000" w:themeColor="text1"/>
          <w:sz w:val="24"/>
          <w:szCs w:val="24"/>
        </w:rPr>
        <w:t>Portanto, ante a importância de promover e proteger a história do nosso povo pretende-se com este projeto de lei o reconhecimento e a consequente declaração do Mosteiro de São Bento de Sorocaba e da Igreja de Sant’Anna</w:t>
      </w:r>
      <w:r w:rsidR="008655DB">
        <w:rPr>
          <w:rFonts w:ascii="Book Antiqua" w:hAnsi="Book Antiqua"/>
          <w:color w:val="000000" w:themeColor="text1"/>
          <w:sz w:val="24"/>
          <w:szCs w:val="24"/>
        </w:rPr>
        <w:t>,</w:t>
      </w:r>
      <w:r w:rsidR="006D617E" w:rsidRPr="006D617E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6D617E">
        <w:rPr>
          <w:rFonts w:ascii="Book Antiqua" w:hAnsi="Book Antiqua"/>
          <w:color w:val="000000" w:themeColor="text1"/>
          <w:sz w:val="24"/>
          <w:szCs w:val="24"/>
        </w:rPr>
        <w:t>como Patrimônio Cultural Material da cidade de Sorocaba.</w:t>
      </w:r>
    </w:p>
    <w:p w:rsidR="004C0E3D" w:rsidRPr="006D617E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after="240"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</w:p>
    <w:p w:rsidR="004C0E3D" w:rsidRPr="006D617E" w:rsidRDefault="004C0E3D" w:rsidP="004C0E3D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  <w:r w:rsidRPr="006D617E">
        <w:rPr>
          <w:rFonts w:ascii="Book Antiqua" w:hAnsi="Book Antiqua"/>
          <w:color w:val="000000" w:themeColor="text1"/>
          <w:szCs w:val="24"/>
        </w:rPr>
        <w:t>Sala das Sessões, 03 de abril de 2023.</w:t>
      </w:r>
    </w:p>
    <w:p w:rsidR="004C0E3D" w:rsidRPr="006D617E" w:rsidRDefault="004C0E3D" w:rsidP="004C0E3D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6D617E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F678D5" w:rsidRPr="006D617E" w:rsidRDefault="004C0E3D" w:rsidP="006D617E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6D617E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sectPr w:rsidR="00F678D5" w:rsidRPr="006D617E" w:rsidSect="00F678D5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766" w:rsidRDefault="00816766" w:rsidP="006D617E">
      <w:pPr>
        <w:spacing w:line="240" w:lineRule="auto"/>
      </w:pPr>
      <w:r>
        <w:separator/>
      </w:r>
    </w:p>
  </w:endnote>
  <w:endnote w:type="continuationSeparator" w:id="0">
    <w:p w:rsidR="00816766" w:rsidRDefault="00816766" w:rsidP="006D6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766" w:rsidRDefault="00816766" w:rsidP="006D617E">
      <w:pPr>
        <w:spacing w:line="240" w:lineRule="auto"/>
      </w:pPr>
      <w:r>
        <w:separator/>
      </w:r>
    </w:p>
  </w:footnote>
  <w:footnote w:type="continuationSeparator" w:id="0">
    <w:p w:rsidR="00816766" w:rsidRDefault="00816766" w:rsidP="006D61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17E" w:rsidRPr="006D617E" w:rsidRDefault="006D617E" w:rsidP="006D617E">
    <w:pPr>
      <w:pStyle w:val="Cabealho"/>
    </w:pPr>
    <w:r w:rsidRPr="006D617E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-190500</wp:posOffset>
          </wp:positionV>
          <wp:extent cx="6686550" cy="1133475"/>
          <wp:effectExtent l="19050" t="0" r="0" b="0"/>
          <wp:wrapSquare wrapText="bothSides"/>
          <wp:docPr id="7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678D5"/>
    <w:rsid w:val="004C0E3D"/>
    <w:rsid w:val="006D617E"/>
    <w:rsid w:val="00816766"/>
    <w:rsid w:val="008655DB"/>
    <w:rsid w:val="00F6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F678D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F678D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F678D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F678D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F678D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F678D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678D5"/>
  </w:style>
  <w:style w:type="table" w:customStyle="1" w:styleId="TableNormal">
    <w:name w:val="Table Normal"/>
    <w:rsid w:val="00F678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678D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F678D5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rsid w:val="004C0E3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4C0E3D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D617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D61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1671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2</cp:revision>
  <cp:lastPrinted>2023-04-03T12:20:00Z</cp:lastPrinted>
  <dcterms:created xsi:type="dcterms:W3CDTF">2023-04-03T12:21:00Z</dcterms:created>
  <dcterms:modified xsi:type="dcterms:W3CDTF">2023-04-03T12:21:00Z</dcterms:modified>
</cp:coreProperties>
</file>